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117207">
        <w:rPr>
          <w:b/>
          <w:color w:val="000000"/>
          <w:sz w:val="28"/>
        </w:rPr>
        <w:t>7</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117207" w:rsidRPr="00E9266F">
                <w:rPr>
                  <w:rStyle w:val="af4"/>
                  <w:sz w:val="24"/>
                  <w:szCs w:val="24"/>
                </w:rPr>
                <w:t>mz</w:t>
              </w:r>
              <w:r w:rsidR="00117207" w:rsidRPr="00E9266F">
                <w:rPr>
                  <w:rStyle w:val="af4"/>
                  <w:sz w:val="24"/>
                  <w:szCs w:val="24"/>
                  <w:lang w:val="en-US"/>
                </w:rPr>
                <w:t>akaz</w:t>
              </w:r>
              <w:r w:rsidR="00117207" w:rsidRPr="00E9266F">
                <w:rPr>
                  <w:rStyle w:val="af4"/>
                  <w:sz w:val="24"/>
                  <w:szCs w:val="24"/>
                </w:rPr>
                <w:t>4@</w:t>
              </w:r>
              <w:r w:rsidR="00117207" w:rsidRPr="00E9266F">
                <w:rPr>
                  <w:rStyle w:val="af4"/>
                  <w:sz w:val="24"/>
                  <w:szCs w:val="24"/>
                  <w:lang w:val="en-US"/>
                </w:rPr>
                <w:t>admkineshma</w:t>
              </w:r>
              <w:r w:rsidR="00117207" w:rsidRPr="00E9266F">
                <w:rPr>
                  <w:rStyle w:val="af4"/>
                  <w:sz w:val="24"/>
                  <w:szCs w:val="24"/>
                </w:rPr>
                <w:t>.</w:t>
              </w:r>
              <w:proofErr w:type="spellStart"/>
              <w:r w:rsidR="00117207" w:rsidRPr="00E9266F">
                <w:rPr>
                  <w:rStyle w:val="af4"/>
                  <w:sz w:val="24"/>
                  <w:szCs w:val="24"/>
                </w:rPr>
                <w:t>ru</w:t>
              </w:r>
              <w:proofErr w:type="spellEnd"/>
            </w:hyperlink>
          </w:p>
          <w:p w:rsidR="00133340" w:rsidRPr="00634B95" w:rsidRDefault="00FF3819" w:rsidP="00117207">
            <w:pPr>
              <w:pStyle w:val="24"/>
              <w:spacing w:after="0" w:line="240" w:lineRule="auto"/>
              <w:rPr>
                <w:bCs/>
                <w:sz w:val="24"/>
                <w:szCs w:val="24"/>
              </w:rPr>
            </w:pPr>
            <w:r>
              <w:rPr>
                <w:sz w:val="24"/>
                <w:szCs w:val="24"/>
              </w:rPr>
              <w:t xml:space="preserve">Ответственное лицо: </w:t>
            </w:r>
            <w:r w:rsidR="00117207">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BD74BE">
            <w:pPr>
              <w:jc w:val="both"/>
              <w:rPr>
                <w:sz w:val="24"/>
                <w:szCs w:val="24"/>
              </w:rPr>
            </w:pPr>
            <w:r>
              <w:rPr>
                <w:sz w:val="24"/>
                <w:szCs w:val="24"/>
              </w:rPr>
              <w:t>173370304089137030100100010</w:t>
            </w:r>
            <w:r w:rsidR="00117207">
              <w:rPr>
                <w:sz w:val="24"/>
                <w:szCs w:val="24"/>
              </w:rPr>
              <w:t>11</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0C782F">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952917">
              <w:rPr>
                <w:b/>
                <w:sz w:val="24"/>
                <w:szCs w:val="24"/>
              </w:rPr>
              <w:t>1</w:t>
            </w:r>
            <w:r w:rsidR="000C782F">
              <w:rPr>
                <w:b/>
                <w:sz w:val="24"/>
                <w:szCs w:val="24"/>
              </w:rPr>
              <w:t>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0C782F" w:rsidP="00952917">
            <w:pPr>
              <w:pStyle w:val="Web"/>
              <w:spacing w:before="0" w:beforeAutospacing="0" w:after="0" w:afterAutospacing="0"/>
              <w:jc w:val="both"/>
              <w:rPr>
                <w:b/>
              </w:rPr>
            </w:pPr>
            <w:r>
              <w:rPr>
                <w:b/>
              </w:rPr>
              <w:t>17</w:t>
            </w:r>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0C782F" w:rsidP="00952917">
            <w:pPr>
              <w:pStyle w:val="Web"/>
              <w:spacing w:before="0" w:beforeAutospacing="0" w:after="0" w:afterAutospacing="0"/>
              <w:rPr>
                <w:b/>
              </w:rPr>
            </w:pPr>
            <w:r>
              <w:rPr>
                <w:b/>
              </w:rPr>
              <w:lastRenderedPageBreak/>
              <w:t>21</w:t>
            </w:r>
            <w:r w:rsidR="00012FFC">
              <w:rPr>
                <w:b/>
              </w:rPr>
              <w:t>.</w:t>
            </w:r>
            <w:r w:rsidR="00952917">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0C782F" w:rsidP="00964BED">
            <w:pPr>
              <w:pStyle w:val="Web"/>
              <w:spacing w:before="0" w:beforeAutospacing="0" w:after="0" w:afterAutospacing="0"/>
              <w:rPr>
                <w:b/>
              </w:rPr>
            </w:pPr>
            <w:r>
              <w:rPr>
                <w:b/>
              </w:rPr>
              <w:t xml:space="preserve">24 </w:t>
            </w:r>
            <w:bookmarkStart w:id="19" w:name="_GoBack"/>
            <w:bookmarkEnd w:id="19"/>
            <w:r w:rsidR="00871525" w:rsidRPr="001A484C">
              <w:rPr>
                <w:b/>
              </w:rPr>
              <w:t>.</w:t>
            </w:r>
            <w:r w:rsidR="00952917">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BD74B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117207">
              <w:rPr>
                <w:sz w:val="24"/>
                <w:szCs w:val="24"/>
              </w:rPr>
              <w:t>7</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117207">
        <w:rPr>
          <w:sz w:val="24"/>
          <w:szCs w:val="24"/>
        </w:rPr>
        <w:t>11</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42" w:rsidRDefault="00967242">
      <w:r>
        <w:separator/>
      </w:r>
    </w:p>
  </w:endnote>
  <w:endnote w:type="continuationSeparator" w:id="0">
    <w:p w:rsidR="00967242" w:rsidRDefault="009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0C782F">
      <w:rPr>
        <w:rStyle w:val="ad"/>
        <w:noProof/>
      </w:rPr>
      <w:t>55</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42" w:rsidRDefault="00967242">
      <w:r>
        <w:separator/>
      </w:r>
    </w:p>
  </w:footnote>
  <w:footnote w:type="continuationSeparator" w:id="0">
    <w:p w:rsidR="00967242" w:rsidRDefault="0096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2F"/>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207"/>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2FF7"/>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42"/>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EE58-DD61-4796-A581-31A20B56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25202</Words>
  <Characters>143656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168521</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3</cp:revision>
  <cp:lastPrinted>2017-08-08T11:56:00Z</cp:lastPrinted>
  <dcterms:created xsi:type="dcterms:W3CDTF">2017-08-04T13:15:00Z</dcterms:created>
  <dcterms:modified xsi:type="dcterms:W3CDTF">2017-08-08T11:56:00Z</dcterms:modified>
</cp:coreProperties>
</file>