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23387A">
        <w:rPr>
          <w:b/>
          <w:color w:val="000000"/>
          <w:sz w:val="28"/>
        </w:rPr>
        <w:t>8</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F9412C" w:rsidRPr="0016573C">
                <w:rPr>
                  <w:rStyle w:val="af4"/>
                  <w:sz w:val="24"/>
                  <w:szCs w:val="24"/>
                </w:rPr>
                <w:t>mz</w:t>
              </w:r>
              <w:r w:rsidR="00F9412C" w:rsidRPr="0016573C">
                <w:rPr>
                  <w:rStyle w:val="af4"/>
                  <w:sz w:val="24"/>
                  <w:szCs w:val="24"/>
                  <w:lang w:val="en-US"/>
                </w:rPr>
                <w:t>akaz</w:t>
              </w:r>
              <w:r w:rsidR="00F9412C" w:rsidRPr="0016573C">
                <w:rPr>
                  <w:rStyle w:val="af4"/>
                  <w:sz w:val="24"/>
                  <w:szCs w:val="24"/>
                </w:rPr>
                <w:t>4@</w:t>
              </w:r>
              <w:r w:rsidR="00F9412C" w:rsidRPr="0016573C">
                <w:rPr>
                  <w:rStyle w:val="af4"/>
                  <w:sz w:val="24"/>
                  <w:szCs w:val="24"/>
                  <w:lang w:val="en-US"/>
                </w:rPr>
                <w:t>admkineshma</w:t>
              </w:r>
              <w:r w:rsidR="00F9412C" w:rsidRPr="0016573C">
                <w:rPr>
                  <w:rStyle w:val="af4"/>
                  <w:sz w:val="24"/>
                  <w:szCs w:val="24"/>
                </w:rPr>
                <w:t>.</w:t>
              </w:r>
              <w:proofErr w:type="spellStart"/>
              <w:r w:rsidR="00F9412C" w:rsidRPr="0016573C">
                <w:rPr>
                  <w:rStyle w:val="af4"/>
                  <w:sz w:val="24"/>
                  <w:szCs w:val="24"/>
                </w:rPr>
                <w:t>ru</w:t>
              </w:r>
              <w:proofErr w:type="spellEnd"/>
            </w:hyperlink>
          </w:p>
          <w:p w:rsidR="00133340" w:rsidRPr="00634B95" w:rsidRDefault="00FF3819" w:rsidP="00F9412C">
            <w:pPr>
              <w:pStyle w:val="24"/>
              <w:spacing w:after="0" w:line="240" w:lineRule="auto"/>
              <w:rPr>
                <w:bCs/>
                <w:sz w:val="24"/>
                <w:szCs w:val="24"/>
              </w:rPr>
            </w:pPr>
            <w:r>
              <w:rPr>
                <w:sz w:val="24"/>
                <w:szCs w:val="24"/>
              </w:rPr>
              <w:t xml:space="preserve">Ответственное лицо: </w:t>
            </w:r>
            <w:r w:rsidR="00F9412C">
              <w:rPr>
                <w:sz w:val="24"/>
                <w:szCs w:val="24"/>
              </w:rPr>
              <w:t>Тихомирова Ольга Германовна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23387A">
            <w:pPr>
              <w:jc w:val="both"/>
              <w:rPr>
                <w:sz w:val="24"/>
                <w:szCs w:val="24"/>
              </w:rPr>
            </w:pPr>
            <w:r>
              <w:rPr>
                <w:sz w:val="24"/>
                <w:szCs w:val="24"/>
              </w:rPr>
              <w:t>173370304089137030100100010</w:t>
            </w:r>
            <w:r w:rsidR="0023387A">
              <w:rPr>
                <w:sz w:val="24"/>
                <w:szCs w:val="24"/>
              </w:rPr>
              <w:t>13</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A71D1E">
              <w:rPr>
                <w:b/>
                <w:sz w:val="24"/>
                <w:szCs w:val="24"/>
              </w:rPr>
              <w:t>0</w:t>
            </w:r>
            <w:r w:rsidR="00DE762F">
              <w:rPr>
                <w:b/>
                <w:sz w:val="24"/>
                <w:szCs w:val="24"/>
              </w:rPr>
              <w:t>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952917">
              <w:rPr>
                <w:b/>
                <w:sz w:val="24"/>
                <w:szCs w:val="24"/>
              </w:rPr>
              <w:t>1</w:t>
            </w:r>
            <w:r w:rsidR="00DE762F">
              <w:rPr>
                <w:b/>
                <w:sz w:val="24"/>
                <w:szCs w:val="24"/>
              </w:rPr>
              <w:t>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952917" w:rsidP="00DE762F">
            <w:pPr>
              <w:pStyle w:val="Web"/>
              <w:spacing w:before="0" w:beforeAutospacing="0" w:after="0" w:afterAutospacing="0"/>
              <w:jc w:val="both"/>
              <w:rPr>
                <w:b/>
              </w:rPr>
            </w:pPr>
            <w:r>
              <w:rPr>
                <w:b/>
              </w:rPr>
              <w:t>1</w:t>
            </w:r>
            <w:r w:rsidR="00DE762F">
              <w:rPr>
                <w:b/>
              </w:rPr>
              <w:t>7</w:t>
            </w:r>
            <w:r w:rsidR="00DB4B82" w:rsidRPr="001A484C">
              <w:rPr>
                <w:b/>
              </w:rPr>
              <w:t>.</w:t>
            </w:r>
            <w:r>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DE762F" w:rsidP="00DE762F">
            <w:pPr>
              <w:pStyle w:val="Web"/>
              <w:spacing w:before="0" w:beforeAutospacing="0" w:after="0" w:afterAutospacing="0"/>
              <w:rPr>
                <w:b/>
              </w:rPr>
            </w:pPr>
            <w:r>
              <w:rPr>
                <w:b/>
              </w:rPr>
              <w:lastRenderedPageBreak/>
              <w:t>21</w:t>
            </w:r>
            <w:r w:rsidR="00012FFC">
              <w:rPr>
                <w:b/>
              </w:rPr>
              <w:t>.</w:t>
            </w:r>
            <w:r w:rsidR="00952917">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w:t>
            </w:r>
            <w:r w:rsidR="00DE762F">
              <w:rPr>
                <w:b/>
              </w:rPr>
              <w:t>4</w:t>
            </w:r>
            <w:bookmarkStart w:id="19" w:name="_GoBack"/>
            <w:bookmarkEnd w:id="19"/>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BD74BE">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23387A">
              <w:rPr>
                <w:sz w:val="24"/>
                <w:szCs w:val="24"/>
              </w:rPr>
              <w:t>8</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23387A">
        <w:rPr>
          <w:sz w:val="24"/>
          <w:szCs w:val="24"/>
        </w:rPr>
        <w:t>13</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BD74BE">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30" w:rsidRDefault="000C6630">
      <w:r>
        <w:separator/>
      </w:r>
    </w:p>
  </w:endnote>
  <w:endnote w:type="continuationSeparator" w:id="0">
    <w:p w:rsidR="000C6630" w:rsidRDefault="000C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DE762F">
      <w:rPr>
        <w:rStyle w:val="ad"/>
        <w:noProof/>
      </w:rPr>
      <w:t>37</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30" w:rsidRDefault="000C6630">
      <w:r>
        <w:separator/>
      </w:r>
    </w:p>
  </w:footnote>
  <w:footnote w:type="continuationSeparator" w:id="0">
    <w:p w:rsidR="000C6630" w:rsidRDefault="000C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630"/>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62F"/>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940B-80CF-43D9-8ECA-5FB18393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25202</Words>
  <Characters>143655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168520</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5</cp:revision>
  <cp:lastPrinted>2017-08-08T11:59:00Z</cp:lastPrinted>
  <dcterms:created xsi:type="dcterms:W3CDTF">2017-08-04T12:57:00Z</dcterms:created>
  <dcterms:modified xsi:type="dcterms:W3CDTF">2017-08-08T11:59:00Z</dcterms:modified>
</cp:coreProperties>
</file>