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proofErr w:type="spellStart"/>
            <w:r>
              <w:rPr>
                <w:sz w:val="28"/>
                <w:szCs w:val="28"/>
              </w:rPr>
              <w:t>Супонькина</w:t>
            </w:r>
            <w:proofErr w:type="spellEnd"/>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4E2CAD">
        <w:rPr>
          <w:b/>
          <w:color w:val="000000"/>
          <w:sz w:val="28"/>
        </w:rPr>
        <w:t>132</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proofErr w:type="spellStart"/>
            <w:r>
              <w:rPr>
                <w:sz w:val="24"/>
                <w:szCs w:val="24"/>
              </w:rPr>
              <w:t>Супонькина</w:t>
            </w:r>
            <w:proofErr w:type="spellEnd"/>
            <w:r>
              <w:rPr>
                <w:sz w:val="24"/>
                <w:szCs w:val="24"/>
              </w:rPr>
              <w:t xml:space="preserve">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F9412C" w:rsidRPr="0016573C">
                <w:rPr>
                  <w:rStyle w:val="af4"/>
                  <w:sz w:val="24"/>
                  <w:szCs w:val="24"/>
                </w:rPr>
                <w:t>mz</w:t>
              </w:r>
              <w:r w:rsidR="00F9412C" w:rsidRPr="0016573C">
                <w:rPr>
                  <w:rStyle w:val="af4"/>
                  <w:sz w:val="24"/>
                  <w:szCs w:val="24"/>
                  <w:lang w:val="en-US"/>
                </w:rPr>
                <w:t>akaz</w:t>
              </w:r>
              <w:r w:rsidR="00F9412C" w:rsidRPr="0016573C">
                <w:rPr>
                  <w:rStyle w:val="af4"/>
                  <w:sz w:val="24"/>
                  <w:szCs w:val="24"/>
                </w:rPr>
                <w:t>4@</w:t>
              </w:r>
              <w:r w:rsidR="00F9412C" w:rsidRPr="0016573C">
                <w:rPr>
                  <w:rStyle w:val="af4"/>
                  <w:sz w:val="24"/>
                  <w:szCs w:val="24"/>
                  <w:lang w:val="en-US"/>
                </w:rPr>
                <w:t>admkineshma</w:t>
              </w:r>
              <w:r w:rsidR="00F9412C" w:rsidRPr="0016573C">
                <w:rPr>
                  <w:rStyle w:val="af4"/>
                  <w:sz w:val="24"/>
                  <w:szCs w:val="24"/>
                </w:rPr>
                <w:t>.</w:t>
              </w:r>
              <w:proofErr w:type="spellStart"/>
              <w:r w:rsidR="00F9412C" w:rsidRPr="0016573C">
                <w:rPr>
                  <w:rStyle w:val="af4"/>
                  <w:sz w:val="24"/>
                  <w:szCs w:val="24"/>
                </w:rPr>
                <w:t>ru</w:t>
              </w:r>
              <w:proofErr w:type="spellEnd"/>
            </w:hyperlink>
          </w:p>
          <w:p w:rsidR="00133340" w:rsidRPr="00634B95" w:rsidRDefault="00FF3819" w:rsidP="00F9412C">
            <w:pPr>
              <w:pStyle w:val="24"/>
              <w:spacing w:after="0" w:line="240" w:lineRule="auto"/>
              <w:rPr>
                <w:bCs/>
                <w:sz w:val="24"/>
                <w:szCs w:val="24"/>
              </w:rPr>
            </w:pPr>
            <w:r>
              <w:rPr>
                <w:sz w:val="24"/>
                <w:szCs w:val="24"/>
              </w:rPr>
              <w:t xml:space="preserve">Ответственное лицо: </w:t>
            </w:r>
            <w:r w:rsidR="00F9412C">
              <w:rPr>
                <w:sz w:val="24"/>
                <w:szCs w:val="24"/>
              </w:rPr>
              <w:t>Тихомирова Ольга Германовна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4E2CAD">
            <w:pPr>
              <w:jc w:val="both"/>
              <w:rPr>
                <w:sz w:val="24"/>
                <w:szCs w:val="24"/>
              </w:rPr>
            </w:pPr>
            <w:r>
              <w:rPr>
                <w:sz w:val="24"/>
                <w:szCs w:val="24"/>
              </w:rPr>
              <w:t>173370304089137030100100010</w:t>
            </w:r>
            <w:r w:rsidR="004E2CAD">
              <w:rPr>
                <w:sz w:val="24"/>
                <w:szCs w:val="24"/>
              </w:rPr>
              <w:t>10</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2C6CD7">
              <w:rPr>
                <w:sz w:val="24"/>
                <w:szCs w:val="24"/>
              </w:rPr>
              <w:t>15 (пятнадцати) рабочих</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заказчиком документа о приемке</w:t>
            </w:r>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w:t>
            </w:r>
            <w:proofErr w:type="spellStart"/>
            <w:r w:rsidRPr="00CB2A98">
              <w:rPr>
                <w:sz w:val="24"/>
                <w:szCs w:val="24"/>
              </w:rPr>
              <w:t>непроведение</w:t>
            </w:r>
            <w:proofErr w:type="spellEnd"/>
            <w:r w:rsidRPr="00CB2A98">
              <w:rPr>
                <w:sz w:val="24"/>
                <w:szCs w:val="24"/>
              </w:rPr>
              <w:t xml:space="preserve">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w:t>
            </w:r>
            <w:proofErr w:type="spellStart"/>
            <w:r w:rsidRPr="00CB2A98">
              <w:rPr>
                <w:color w:val="000000"/>
                <w:sz w:val="24"/>
                <w:szCs w:val="24"/>
              </w:rPr>
              <w:t>неприостановление</w:t>
            </w:r>
            <w:proofErr w:type="spellEnd"/>
            <w:r w:rsidRPr="00CB2A98">
              <w:rPr>
                <w:color w:val="000000"/>
                <w:sz w:val="24"/>
                <w:szCs w:val="24"/>
              </w:rPr>
              <w:t xml:space="preserve">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A98">
              <w:rPr>
                <w:sz w:val="24"/>
                <w:szCs w:val="24"/>
              </w:rPr>
              <w:t>неполнородными</w:t>
            </w:r>
            <w:proofErr w:type="spellEnd"/>
            <w:r w:rsidRPr="00CB2A98">
              <w:rPr>
                <w:sz w:val="24"/>
                <w:szCs w:val="24"/>
              </w:rPr>
              <w:t xml:space="preserve"> (имеющими общих отца или мать) братьями и </w:t>
            </w:r>
            <w:r w:rsidRPr="00CB2A98">
              <w:rPr>
                <w:sz w:val="24"/>
                <w:szCs w:val="24"/>
              </w:rPr>
              <w:lastRenderedPageBreak/>
              <w:t>сестрами), усыновителями или усыновленными указанных</w:t>
            </w:r>
            <w:proofErr w:type="gramEnd"/>
            <w:r w:rsidRPr="00CB2A98">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B856F6" w:rsidRPr="005202BB" w:rsidRDefault="00B856F6" w:rsidP="00B856F6">
            <w:pPr>
              <w:widowControl/>
              <w:ind w:firstLine="540"/>
              <w:jc w:val="both"/>
              <w:rPr>
                <w:spacing w:val="-4"/>
                <w:sz w:val="24"/>
                <w:szCs w:val="24"/>
              </w:rPr>
            </w:pPr>
            <w:r w:rsidRPr="005202BB">
              <w:rPr>
                <w:spacing w:val="-4"/>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856F6" w:rsidRPr="005202BB" w:rsidRDefault="00B856F6" w:rsidP="00B856F6">
            <w:pPr>
              <w:jc w:val="both"/>
              <w:rPr>
                <w:b/>
                <w:spacing w:val="-4"/>
                <w:sz w:val="24"/>
                <w:szCs w:val="24"/>
              </w:rPr>
            </w:pPr>
            <w:r w:rsidRPr="005202BB">
              <w:rPr>
                <w:b/>
                <w:spacing w:val="-4"/>
                <w:sz w:val="24"/>
                <w:szCs w:val="24"/>
              </w:rPr>
              <w:t>В соответствии со статьей 30 Закона № 44-ФЗ участники  электронного аукциона должны соответствовать одному из следующих пунктов (1 или 2):</w:t>
            </w:r>
          </w:p>
          <w:p w:rsidR="00B856F6" w:rsidRPr="005202BB" w:rsidRDefault="00B856F6" w:rsidP="00B856F6">
            <w:pPr>
              <w:jc w:val="both"/>
              <w:rPr>
                <w:spacing w:val="-4"/>
                <w:sz w:val="24"/>
                <w:szCs w:val="24"/>
              </w:rPr>
            </w:pPr>
            <w:r w:rsidRPr="005202BB">
              <w:rPr>
                <w:b/>
                <w:spacing w:val="-4"/>
                <w:sz w:val="24"/>
                <w:szCs w:val="24"/>
              </w:rPr>
              <w:t>1.</w:t>
            </w:r>
            <w:r w:rsidRPr="005202BB">
              <w:rPr>
                <w:spacing w:val="-4"/>
                <w:sz w:val="24"/>
                <w:szCs w:val="24"/>
              </w:rPr>
              <w:t xml:space="preserve">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sz w:val="24"/>
                <w:szCs w:val="24"/>
              </w:rPr>
              <w:t>.</w:t>
            </w:r>
          </w:p>
          <w:p w:rsidR="00B856F6" w:rsidRPr="005275B4" w:rsidRDefault="00B856F6" w:rsidP="00B856F6">
            <w:pPr>
              <w:tabs>
                <w:tab w:val="left" w:pos="601"/>
              </w:tabs>
              <w:jc w:val="both"/>
              <w:rPr>
                <w:b/>
                <w:spacing w:val="-4"/>
                <w:sz w:val="24"/>
                <w:szCs w:val="24"/>
              </w:rPr>
            </w:pPr>
            <w:r w:rsidRPr="005275B4">
              <w:rPr>
                <w:b/>
                <w:spacing w:val="-4"/>
                <w:sz w:val="24"/>
                <w:szCs w:val="24"/>
              </w:rPr>
              <w:t>ИЛИ</w:t>
            </w:r>
          </w:p>
          <w:p w:rsidR="00922594" w:rsidRPr="00B856F6" w:rsidRDefault="00B856F6" w:rsidP="000B54DD">
            <w:pPr>
              <w:pStyle w:val="Web"/>
              <w:keepNext/>
              <w:keepLines/>
              <w:spacing w:before="0" w:beforeAutospacing="0" w:after="0" w:afterAutospacing="0"/>
              <w:rPr>
                <w:spacing w:val="-4"/>
              </w:rPr>
            </w:pPr>
            <w:r w:rsidRPr="005275B4">
              <w:rPr>
                <w:b/>
                <w:spacing w:val="-4"/>
              </w:rPr>
              <w:t>2.</w:t>
            </w:r>
            <w:r w:rsidRPr="005202BB">
              <w:rPr>
                <w:spacing w:val="-4"/>
              </w:rPr>
              <w:t xml:space="preserve"> Участники электронного аукциона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w:t>
            </w:r>
            <w:r w:rsidRPr="004E3CD6">
              <w:lastRenderedPageBreak/>
              <w:t xml:space="preserve">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lastRenderedPageBreak/>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lastRenderedPageBreak/>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w:t>
            </w:r>
            <w:r w:rsidRPr="00C437DD">
              <w:rPr>
                <w:sz w:val="24"/>
                <w:szCs w:val="24"/>
              </w:rPr>
              <w:lastRenderedPageBreak/>
              <w:t>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B856F6" w:rsidRDefault="00B856F6" w:rsidP="00B856F6">
            <w:pPr>
              <w:jc w:val="both"/>
              <w:rPr>
                <w:rFonts w:eastAsia="Calibri"/>
                <w:color w:val="000000"/>
                <w:sz w:val="24"/>
                <w:szCs w:val="24"/>
                <w:shd w:val="clear" w:color="auto" w:fill="FFFF00"/>
                <w:lang w:eastAsia="en-US"/>
              </w:rPr>
            </w:pPr>
            <w:r w:rsidRPr="00E52EF9">
              <w:rPr>
                <w:sz w:val="24"/>
                <w:szCs w:val="24"/>
                <w:highlight w:val="yellow"/>
                <w:shd w:val="clear" w:color="auto" w:fill="FFFF00"/>
              </w:rPr>
              <w:t xml:space="preserve">4. </w:t>
            </w:r>
            <w:r w:rsidRPr="00E52EF9">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E52EF9">
              <w:rPr>
                <w:rFonts w:eastAsia="Calibri"/>
                <w:color w:val="000000"/>
                <w:sz w:val="24"/>
                <w:szCs w:val="24"/>
                <w:highlight w:val="yellow"/>
                <w:lang w:eastAsia="en-US"/>
              </w:rPr>
              <w:t>Федерального закона № 44-ФЗ</w:t>
            </w:r>
            <w:r w:rsidRPr="001E3AEC">
              <w:rPr>
                <w:rFonts w:eastAsia="Calibri"/>
                <w:color w:val="000000"/>
                <w:sz w:val="24"/>
                <w:szCs w:val="24"/>
                <w:shd w:val="clear" w:color="auto" w:fill="FFFF00"/>
                <w:lang w:eastAsia="en-US"/>
              </w:rPr>
              <w:t>.</w:t>
            </w:r>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CB2A98">
              <w:rPr>
                <w:sz w:val="24"/>
                <w:szCs w:val="24"/>
              </w:rPr>
              <w:t>которыми</w:t>
            </w:r>
            <w:proofErr w:type="gramEnd"/>
            <w:r w:rsidRPr="00CB2A98">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proofErr w:type="gramStart"/>
            <w:r w:rsidRPr="00CB2A98">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CB2A98">
              <w:rPr>
                <w:sz w:val="24"/>
                <w:szCs w:val="24"/>
              </w:rPr>
              <w:t xml:space="preserve">, указывает </w:t>
            </w:r>
            <w:r w:rsidRPr="00CB2A98">
              <w:rPr>
                <w:b/>
                <w:sz w:val="24"/>
                <w:szCs w:val="24"/>
              </w:rPr>
              <w:lastRenderedPageBreak/>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CB2A98">
              <w:rPr>
                <w:sz w:val="24"/>
                <w:szCs w:val="24"/>
              </w:rPr>
              <w:t>.</w:t>
            </w:r>
            <w:proofErr w:type="gramEnd"/>
            <w:r w:rsidRPr="00CB2A98">
              <w:rPr>
                <w:sz w:val="24"/>
                <w:szCs w:val="24"/>
              </w:rPr>
              <w:t xml:space="preserve"> </w:t>
            </w:r>
            <w:proofErr w:type="gramStart"/>
            <w:r w:rsidRPr="00CB2A98">
              <w:rPr>
                <w:sz w:val="24"/>
                <w:szCs w:val="24"/>
              </w:rPr>
              <w:t>и</w:t>
            </w:r>
            <w:proofErr w:type="gramEnd"/>
            <w:r w:rsidRPr="00CB2A98">
              <w:rPr>
                <w:sz w:val="24"/>
                <w:szCs w:val="24"/>
              </w:rPr>
              <w:t xml:space="preserve"> т.п.), в заявке на участие в электронном аукционе </w:t>
            </w:r>
            <w:proofErr w:type="gramStart"/>
            <w:r w:rsidRPr="00CB2A98">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w:t>
            </w:r>
            <w:proofErr w:type="gramEnd"/>
            <w:r w:rsidRPr="00CB2A98">
              <w:rPr>
                <w:sz w:val="24"/>
                <w:szCs w:val="24"/>
              </w:rPr>
              <w:t xml:space="preserve"> электронном </w:t>
            </w:r>
            <w:proofErr w:type="gramStart"/>
            <w:r w:rsidRPr="00CB2A98">
              <w:rPr>
                <w:sz w:val="24"/>
                <w:szCs w:val="24"/>
              </w:rPr>
              <w:t>аукционе</w:t>
            </w:r>
            <w:proofErr w:type="gramEnd"/>
            <w:r w:rsidRPr="00CB2A98">
              <w:rPr>
                <w:sz w:val="24"/>
                <w:szCs w:val="24"/>
              </w:rPr>
              <w:t>.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w:t>
            </w:r>
            <w:proofErr w:type="gramStart"/>
            <w:r w:rsidRPr="00CB2A98">
              <w:rPr>
                <w:sz w:val="24"/>
                <w:szCs w:val="24"/>
              </w:rPr>
              <w:t>м(</w:t>
            </w:r>
            <w:proofErr w:type="spellStart"/>
            <w:proofErr w:type="gramEnd"/>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proofErr w:type="gramStart"/>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proofErr w:type="gramStart"/>
            <w:r w:rsidRPr="00CB2A98">
              <w:t xml:space="preserve">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w:t>
            </w:r>
            <w:r w:rsidRPr="00CB2A98">
              <w:lastRenderedPageBreak/>
              <w:t>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EC60C1" w:rsidRPr="00CB2A98" w:rsidRDefault="00EC60C1" w:rsidP="00EC60C1">
            <w:pPr>
              <w:keepNext/>
              <w:keepLines/>
              <w:widowControl/>
              <w:jc w:val="both"/>
              <w:rPr>
                <w:sz w:val="24"/>
                <w:szCs w:val="24"/>
              </w:rPr>
            </w:pPr>
            <w:proofErr w:type="gramStart"/>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EC60C1" w:rsidRPr="00CB2A98" w:rsidRDefault="00EC60C1" w:rsidP="00EC60C1">
            <w:pPr>
              <w:pStyle w:val="aff3"/>
              <w:spacing w:before="0" w:beforeAutospacing="0" w:after="0" w:afterAutospacing="0"/>
              <w:jc w:val="both"/>
            </w:pPr>
            <w:r w:rsidRPr="00CB2A98">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A71D1E">
              <w:rPr>
                <w:b/>
                <w:sz w:val="24"/>
                <w:szCs w:val="24"/>
              </w:rPr>
              <w:t>0</w:t>
            </w:r>
            <w:r w:rsidR="00D05C60">
              <w:rPr>
                <w:b/>
                <w:sz w:val="24"/>
                <w:szCs w:val="24"/>
              </w:rPr>
              <w:t>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952917">
              <w:rPr>
                <w:b/>
                <w:sz w:val="24"/>
                <w:szCs w:val="24"/>
              </w:rPr>
              <w:t>1</w:t>
            </w:r>
            <w:r w:rsidR="00D05C60">
              <w:rPr>
                <w:b/>
                <w:sz w:val="24"/>
                <w:szCs w:val="24"/>
              </w:rPr>
              <w:t>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w:t>
            </w:r>
            <w:r w:rsidRPr="001A484C">
              <w:rPr>
                <w:sz w:val="24"/>
                <w:szCs w:val="24"/>
              </w:rPr>
              <w:lastRenderedPageBreak/>
              <w:t xml:space="preserve">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952917" w:rsidP="00D05C60">
            <w:pPr>
              <w:pStyle w:val="Web"/>
              <w:spacing w:before="0" w:beforeAutospacing="0" w:after="0" w:afterAutospacing="0"/>
              <w:jc w:val="both"/>
              <w:rPr>
                <w:b/>
              </w:rPr>
            </w:pPr>
            <w:r>
              <w:rPr>
                <w:b/>
              </w:rPr>
              <w:t>1</w:t>
            </w:r>
            <w:r w:rsidR="00D05C60">
              <w:rPr>
                <w:b/>
              </w:rPr>
              <w:t>7</w:t>
            </w:r>
            <w:r w:rsidR="00DB4B82" w:rsidRPr="001A484C">
              <w:rPr>
                <w:b/>
              </w:rPr>
              <w:t>.</w:t>
            </w:r>
            <w:r>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52917">
            <w:pPr>
              <w:pStyle w:val="Web"/>
              <w:spacing w:before="0" w:beforeAutospacing="0" w:after="0" w:afterAutospacing="0"/>
              <w:rPr>
                <w:b/>
              </w:rPr>
            </w:pPr>
            <w:r>
              <w:rPr>
                <w:b/>
              </w:rPr>
              <w:t>18</w:t>
            </w:r>
            <w:r w:rsidR="00012FFC">
              <w:rPr>
                <w:b/>
              </w:rPr>
              <w:t>.</w:t>
            </w:r>
            <w:r>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21</w:t>
            </w:r>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4E2CAD">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2C6CD7">
              <w:rPr>
                <w:sz w:val="24"/>
                <w:szCs w:val="24"/>
              </w:rPr>
              <w:t>3</w:t>
            </w:r>
            <w:r w:rsidR="004E2CAD">
              <w:rPr>
                <w:sz w:val="24"/>
                <w:szCs w:val="24"/>
              </w:rPr>
              <w:t>2</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 xml:space="preserve">или внесения денежных средств в размере обеспечения исполнения </w:t>
            </w:r>
            <w:r w:rsidRPr="001A484C">
              <w:rPr>
                <w:sz w:val="24"/>
                <w:szCs w:val="24"/>
              </w:rPr>
              <w:lastRenderedPageBreak/>
              <w:t>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w:t>
            </w:r>
            <w:r w:rsidRPr="00B919D3">
              <w:rPr>
                <w:sz w:val="24"/>
                <w:szCs w:val="24"/>
              </w:rPr>
              <w:lastRenderedPageBreak/>
              <w:t xml:space="preserve">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lastRenderedPageBreak/>
              <w:t>В случае не</w:t>
            </w:r>
            <w:r w:rsidR="009F4CB8">
              <w:rPr>
                <w:sz w:val="24"/>
                <w:szCs w:val="24"/>
              </w:rPr>
              <w:t xml:space="preserve"> </w:t>
            </w:r>
            <w:r w:rsidRPr="001A484C">
              <w:rPr>
                <w:sz w:val="24"/>
                <w:szCs w:val="24"/>
              </w:rPr>
              <w:t xml:space="preserve">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w:t>
            </w:r>
            <w:r w:rsidRPr="001A484C">
              <w:rPr>
                <w:sz w:val="24"/>
                <w:szCs w:val="24"/>
              </w:rPr>
              <w:lastRenderedPageBreak/>
              <w:t>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B856F6" w:rsidRDefault="002B6753" w:rsidP="00B856F6">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B856F6" w:rsidRPr="00EA4927" w:rsidRDefault="00B856F6" w:rsidP="00B856F6">
      <w:pPr>
        <w:shd w:val="clear" w:color="auto" w:fill="FFFF00"/>
        <w:ind w:right="-81"/>
        <w:jc w:val="both"/>
        <w:rPr>
          <w:i/>
          <w:spacing w:val="-6"/>
          <w:sz w:val="24"/>
          <w:szCs w:val="24"/>
          <w:shd w:val="clear" w:color="auto" w:fill="FFFF00"/>
          <w:vertAlign w:val="superscript"/>
        </w:rPr>
      </w:pPr>
      <w:r w:rsidRPr="00EA4927">
        <w:rPr>
          <w:b/>
          <w:spacing w:val="-6"/>
          <w:sz w:val="24"/>
          <w:szCs w:val="24"/>
          <w:shd w:val="clear" w:color="auto" w:fill="FFFF00"/>
        </w:rPr>
        <w:t xml:space="preserve">3. </w:t>
      </w:r>
      <w:r w:rsidRPr="00EA4927">
        <w:rPr>
          <w:spacing w:val="-6"/>
          <w:sz w:val="24"/>
          <w:szCs w:val="24"/>
          <w:shd w:val="clear" w:color="auto" w:fill="FFFF00"/>
        </w:rPr>
        <w:t>_____________________</w:t>
      </w:r>
      <w:r>
        <w:rPr>
          <w:spacing w:val="-6"/>
          <w:sz w:val="24"/>
          <w:szCs w:val="24"/>
          <w:shd w:val="clear" w:color="auto" w:fill="FFFF00"/>
        </w:rPr>
        <w:t>_____________________</w:t>
      </w:r>
      <w:r w:rsidRPr="00EA4927">
        <w:rPr>
          <w:spacing w:val="-6"/>
          <w:sz w:val="24"/>
          <w:szCs w:val="24"/>
          <w:shd w:val="clear" w:color="auto" w:fill="FFFF00"/>
        </w:rPr>
        <w:t xml:space="preserve"> является (являюсь) </w:t>
      </w:r>
      <w:r w:rsidRPr="00EA4927">
        <w:rPr>
          <w:spacing w:val="-6"/>
          <w:sz w:val="24"/>
          <w:szCs w:val="24"/>
          <w:u w:val="single"/>
          <w:shd w:val="clear" w:color="auto" w:fill="FFFF00"/>
        </w:rPr>
        <w:t>субъектом</w:t>
      </w:r>
    </w:p>
    <w:p w:rsidR="00B856F6" w:rsidRDefault="00B856F6" w:rsidP="00B856F6">
      <w:pPr>
        <w:shd w:val="clear" w:color="auto" w:fill="FFFF00"/>
        <w:ind w:left="855" w:right="-81"/>
        <w:jc w:val="both"/>
        <w:rPr>
          <w:i/>
          <w:spacing w:val="-6"/>
          <w:sz w:val="24"/>
          <w:szCs w:val="24"/>
          <w:shd w:val="clear" w:color="auto" w:fill="FFFF00"/>
          <w:vertAlign w:val="superscript"/>
        </w:rPr>
      </w:pPr>
      <w:r w:rsidRPr="00EA4927">
        <w:rPr>
          <w:i/>
          <w:spacing w:val="-6"/>
          <w:sz w:val="24"/>
          <w:szCs w:val="24"/>
          <w:shd w:val="clear" w:color="auto" w:fill="FFFF00"/>
          <w:vertAlign w:val="superscript"/>
        </w:rPr>
        <w:t xml:space="preserve">                       </w:t>
      </w:r>
      <w:proofErr w:type="gramStart"/>
      <w:r w:rsidRPr="00EA4927">
        <w:rPr>
          <w:i/>
          <w:spacing w:val="-6"/>
          <w:sz w:val="24"/>
          <w:szCs w:val="24"/>
          <w:shd w:val="clear" w:color="auto" w:fill="FFFF00"/>
          <w:vertAlign w:val="superscript"/>
        </w:rPr>
        <w:t>(Наименование участника электронного аукцион</w:t>
      </w:r>
      <w:r>
        <w:rPr>
          <w:i/>
          <w:spacing w:val="-6"/>
          <w:sz w:val="24"/>
          <w:szCs w:val="24"/>
          <w:shd w:val="clear" w:color="auto" w:fill="FFFF00"/>
          <w:vertAlign w:val="superscript"/>
        </w:rPr>
        <w:t>а</w:t>
      </w:r>
      <w:proofErr w:type="gramEnd"/>
    </w:p>
    <w:p w:rsidR="00B856F6" w:rsidRPr="00EA4927" w:rsidRDefault="00B856F6" w:rsidP="00B856F6">
      <w:pPr>
        <w:shd w:val="clear" w:color="auto" w:fill="FFFF00"/>
        <w:ind w:right="-81"/>
        <w:jc w:val="both"/>
        <w:rPr>
          <w:spacing w:val="-6"/>
          <w:sz w:val="24"/>
          <w:szCs w:val="24"/>
          <w:u w:val="single"/>
          <w:shd w:val="clear" w:color="auto" w:fill="FFFF00"/>
        </w:rPr>
      </w:pPr>
      <w:r w:rsidRPr="00EA4927">
        <w:rPr>
          <w:spacing w:val="-6"/>
          <w:sz w:val="24"/>
          <w:szCs w:val="24"/>
          <w:u w:val="single"/>
          <w:shd w:val="clear" w:color="auto" w:fill="FFFF00"/>
        </w:rPr>
        <w:t xml:space="preserve">малого предпринимательства </w:t>
      </w:r>
      <w:r w:rsidRPr="00EA4927">
        <w:rPr>
          <w:b/>
          <w:i/>
          <w:spacing w:val="-6"/>
          <w:sz w:val="24"/>
          <w:szCs w:val="24"/>
          <w:u w:val="single"/>
          <w:shd w:val="clear" w:color="auto" w:fill="FFFF00"/>
        </w:rPr>
        <w:t xml:space="preserve">или </w:t>
      </w:r>
      <w:r w:rsidRPr="00EA4927">
        <w:rPr>
          <w:spacing w:val="-6"/>
          <w:sz w:val="24"/>
          <w:szCs w:val="24"/>
          <w:u w:val="single"/>
          <w:shd w:val="clear" w:color="auto" w:fill="FFFF00"/>
        </w:rPr>
        <w:t>социально ориентированной  некоммерческой</w:t>
      </w:r>
      <w:r>
        <w:rPr>
          <w:spacing w:val="-6"/>
          <w:sz w:val="24"/>
          <w:szCs w:val="24"/>
          <w:u w:val="single"/>
          <w:shd w:val="clear" w:color="auto" w:fill="FFFF00"/>
        </w:rPr>
        <w:t xml:space="preserve"> организацией.</w:t>
      </w:r>
    </w:p>
    <w:p w:rsidR="00B856F6" w:rsidRPr="00EA4927" w:rsidRDefault="00B856F6" w:rsidP="00B856F6">
      <w:pPr>
        <w:shd w:val="clear" w:color="auto" w:fill="FFFF00"/>
        <w:ind w:right="-81"/>
        <w:rPr>
          <w:spacing w:val="-6"/>
          <w:sz w:val="24"/>
          <w:szCs w:val="24"/>
          <w:u w:val="single"/>
          <w:shd w:val="clear" w:color="auto" w:fill="FFFF00"/>
        </w:rPr>
      </w:pPr>
      <w:r w:rsidRPr="00EA4927">
        <w:rPr>
          <w:b/>
          <w:i/>
          <w:spacing w:val="-6"/>
          <w:sz w:val="24"/>
          <w:szCs w:val="24"/>
          <w:shd w:val="clear" w:color="auto" w:fill="FFFF00"/>
        </w:rPr>
        <w:t>(нужное выбрать)</w:t>
      </w: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Pr="00B856F6" w:rsidRDefault="00D53C0D" w:rsidP="00D53C0D">
      <w:pPr>
        <w:widowControl/>
        <w:ind w:firstLine="540"/>
        <w:jc w:val="both"/>
        <w:rPr>
          <w:i/>
        </w:rPr>
      </w:pPr>
      <w:r w:rsidRPr="00B856F6">
        <w:rPr>
          <w:b/>
          <w:i/>
        </w:rPr>
        <w:t>Примечание:</w:t>
      </w:r>
      <w:r w:rsidRPr="00B856F6">
        <w:t xml:space="preserve"> </w:t>
      </w:r>
      <w:proofErr w:type="gramStart"/>
      <w:r w:rsidRPr="00B856F6">
        <w:rPr>
          <w:i/>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sidRPr="00B856F6">
        <w:rPr>
          <w:i/>
        </w:rPr>
        <w:t>, Уполномоченному органу</w:t>
      </w:r>
      <w:r w:rsidRPr="00B856F6">
        <w:rPr>
          <w:i/>
        </w:rPr>
        <w:t xml:space="preserve">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53C0D" w:rsidRPr="00B856F6" w:rsidRDefault="00D53C0D" w:rsidP="00D53C0D">
      <w:pPr>
        <w:widowControl/>
        <w:ind w:firstLine="540"/>
        <w:jc w:val="both"/>
        <w:rPr>
          <w:i/>
          <w:iCs/>
        </w:rPr>
      </w:pPr>
      <w:r w:rsidRPr="00B856F6">
        <w:rPr>
          <w:i/>
          <w:iCs/>
        </w:rPr>
        <w:t xml:space="preserve">Документы и информация, направляемые в форме электронных документов участником электронного аукциона, заказчиком, </w:t>
      </w:r>
      <w:r w:rsidR="009B2D23" w:rsidRPr="00B856F6">
        <w:rPr>
          <w:i/>
          <w:iCs/>
        </w:rPr>
        <w:t xml:space="preserve">Уполномоченным органом </w:t>
      </w:r>
      <w:r w:rsidRPr="00B856F6">
        <w:rPr>
          <w:i/>
          <w:iCs/>
        </w:rPr>
        <w:t>должны быть подписаны усиленной электронной подписью лица, имеющего право действовать от имени соответственно участника такого</w:t>
      </w:r>
      <w:r w:rsidR="00493906" w:rsidRPr="00B856F6">
        <w:rPr>
          <w:i/>
          <w:iCs/>
        </w:rPr>
        <w:t xml:space="preserve"> электронного </w:t>
      </w:r>
      <w:r w:rsidRPr="00B856F6">
        <w:rPr>
          <w:i/>
          <w:iCs/>
        </w:rPr>
        <w:t xml:space="preserve"> аукциона, заказчика</w:t>
      </w:r>
      <w:r w:rsidR="009B2D23" w:rsidRPr="00B856F6">
        <w:rPr>
          <w:i/>
          <w:iCs/>
        </w:rPr>
        <w:t>, Уполномоченным органом</w:t>
      </w:r>
      <w:r w:rsidRPr="00B856F6">
        <w:rPr>
          <w:i/>
          <w:iCs/>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w:t>
      </w:r>
      <w:proofErr w:type="gramStart"/>
      <w:r>
        <w:rPr>
          <w:szCs w:val="24"/>
        </w:rPr>
        <w:t>я</w:t>
      </w:r>
      <w:proofErr w:type="spellEnd"/>
      <w:r>
        <w:rPr>
          <w:szCs w:val="24"/>
        </w:rPr>
        <w:t>-</w:t>
      </w:r>
      <w:proofErr w:type="gramEnd"/>
      <w:r>
        <w:rPr>
          <w:szCs w:val="24"/>
        </w:rPr>
        <w:t xml:space="preserve">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 xml:space="preserve">1.6.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4E2CAD">
        <w:rPr>
          <w:sz w:val="24"/>
          <w:szCs w:val="24"/>
        </w:rPr>
        <w:t>10</w:t>
      </w:r>
      <w:bookmarkStart w:id="19" w:name="_GoBack"/>
      <w:bookmarkEnd w:id="19"/>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B856F6">
        <w:rPr>
          <w:sz w:val="24"/>
          <w:szCs w:val="24"/>
        </w:rPr>
        <w:t>15 (пятнадцати) рабочих</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w:t>
      </w:r>
      <w:proofErr w:type="gramStart"/>
      <w:r w:rsidRPr="006D55C6">
        <w:rPr>
          <w:sz w:val="24"/>
          <w:szCs w:val="24"/>
        </w:rPr>
        <w:t>П</w:t>
      </w:r>
      <w:proofErr w:type="gramEnd"/>
      <w:r w:rsidRPr="006D55C6">
        <w:rPr>
          <w:sz w:val="24"/>
          <w:szCs w:val="24"/>
        </w:rPr>
        <w:t xml:space="preserve"> = (Ц - В) х С (где Ц – цена </w:t>
      </w:r>
      <w:proofErr w:type="gramStart"/>
      <w:r w:rsidRPr="006D55C6">
        <w:rPr>
          <w:sz w:val="24"/>
          <w:szCs w:val="24"/>
        </w:rPr>
        <w:t>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D55C6">
        <w:rPr>
          <w:sz w:val="24"/>
          <w:szCs w:val="24"/>
        </w:rPr>
        <w:t xml:space="preserve"> К</w:t>
      </w:r>
      <w:proofErr w:type="gramEnd"/>
      <w:r w:rsidRPr="006D55C6">
        <w:rPr>
          <w:sz w:val="24"/>
          <w:szCs w:val="24"/>
        </w:rPr>
        <w:t>;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w:t>
      </w:r>
      <w:proofErr w:type="gramStart"/>
      <w:r w:rsidRPr="006D55C6">
        <w:rPr>
          <w:sz w:val="24"/>
          <w:szCs w:val="24"/>
        </w:rPr>
        <w:t xml:space="preserve"> К</w:t>
      </w:r>
      <w:proofErr w:type="gramEnd"/>
      <w:r w:rsidRPr="006D55C6">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proofErr w:type="gramStart"/>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w:t>
      </w:r>
      <w:proofErr w:type="gramEnd"/>
      <w:r w:rsidR="00F91C51">
        <w:rPr>
          <w:sz w:val="24"/>
          <w:szCs w:val="24"/>
        </w:rPr>
        <w:t xml:space="preserve">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 xml:space="preserve">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w:t>
      </w:r>
      <w:r>
        <w:rPr>
          <w:sz w:val="24"/>
          <w:szCs w:val="24"/>
        </w:rPr>
        <w:lastRenderedPageBreak/>
        <w:t xml:space="preserve">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BD74BE">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09" w:rsidRDefault="00324109">
      <w:r>
        <w:separator/>
      </w:r>
    </w:p>
  </w:endnote>
  <w:endnote w:type="continuationSeparator" w:id="0">
    <w:p w:rsidR="00324109" w:rsidRDefault="0032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D7" w:rsidRDefault="002C6CD7"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C6CD7" w:rsidRDefault="002C6CD7">
    <w:pPr>
      <w:pStyle w:val="af7"/>
      <w:ind w:right="360"/>
    </w:pPr>
  </w:p>
  <w:p w:rsidR="002C6CD7" w:rsidRDefault="002C6C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D7" w:rsidRDefault="002C6CD7"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4E2CAD">
      <w:rPr>
        <w:rStyle w:val="ad"/>
        <w:noProof/>
      </w:rPr>
      <w:t>46</w:t>
    </w:r>
    <w:r>
      <w:rPr>
        <w:rStyle w:val="ad"/>
      </w:rPr>
      <w:fldChar w:fldCharType="end"/>
    </w:r>
  </w:p>
  <w:p w:rsidR="002C6CD7" w:rsidRDefault="002C6CD7">
    <w:pPr>
      <w:pStyle w:val="af7"/>
      <w:ind w:right="360"/>
    </w:pPr>
  </w:p>
  <w:p w:rsidR="002C6CD7" w:rsidRDefault="002C6C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D7" w:rsidRDefault="002C6CD7"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09" w:rsidRDefault="00324109">
      <w:r>
        <w:separator/>
      </w:r>
    </w:p>
  </w:footnote>
  <w:footnote w:type="continuationSeparator" w:id="0">
    <w:p w:rsidR="00324109" w:rsidRDefault="00324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6F2"/>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CD7"/>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09"/>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2CAD"/>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0F9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57A"/>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498"/>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6F6"/>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5C60"/>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4@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C27B-BBBB-43E5-92BA-02DC1CAA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25408</Words>
  <Characters>144831</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169900</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2</cp:revision>
  <cp:lastPrinted>2017-08-08T12:12:00Z</cp:lastPrinted>
  <dcterms:created xsi:type="dcterms:W3CDTF">2017-08-08T12:20:00Z</dcterms:created>
  <dcterms:modified xsi:type="dcterms:W3CDTF">2017-08-08T12:20:00Z</dcterms:modified>
</cp:coreProperties>
</file>