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90" w:rsidRPr="00964D90" w:rsidRDefault="00964D90" w:rsidP="00964D90">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964D90">
        <w:rPr>
          <w:rFonts w:ascii="PT Serif" w:eastAsia="Times New Roman" w:hAnsi="PT Serif" w:cs="Times New Roman"/>
          <w:b/>
          <w:bCs/>
          <w:color w:val="22272F"/>
          <w:sz w:val="23"/>
          <w:szCs w:val="23"/>
          <w:lang w:eastAsia="ru-RU"/>
        </w:rPr>
        <w:t>УТВЕРЖДЕН</w:t>
      </w:r>
      <w:r w:rsidRPr="00964D90">
        <w:rPr>
          <w:rFonts w:ascii="PT Serif" w:eastAsia="Times New Roman" w:hAnsi="PT Serif" w:cs="Times New Roman"/>
          <w:b/>
          <w:bCs/>
          <w:color w:val="22272F"/>
          <w:sz w:val="23"/>
          <w:szCs w:val="23"/>
          <w:lang w:eastAsia="ru-RU"/>
        </w:rPr>
        <w:br/>
      </w:r>
      <w:hyperlink r:id="rId5" w:anchor="/document/74433546/entry/0" w:history="1">
        <w:r w:rsidRPr="00964D90">
          <w:rPr>
            <w:rFonts w:ascii="PT Serif" w:eastAsia="Times New Roman" w:hAnsi="PT Serif" w:cs="Times New Roman"/>
            <w:b/>
            <w:bCs/>
            <w:sz w:val="23"/>
            <w:szCs w:val="23"/>
            <w:lang w:eastAsia="ru-RU"/>
          </w:rPr>
          <w:t>постановлением</w:t>
        </w:r>
      </w:hyperlink>
      <w:r w:rsidRPr="00964D90">
        <w:rPr>
          <w:rFonts w:ascii="PT Serif" w:eastAsia="Times New Roman" w:hAnsi="PT Serif" w:cs="Times New Roman"/>
          <w:b/>
          <w:bCs/>
          <w:sz w:val="23"/>
          <w:szCs w:val="23"/>
          <w:lang w:eastAsia="ru-RU"/>
        </w:rPr>
        <w:t> </w:t>
      </w:r>
      <w:r w:rsidRPr="00964D90">
        <w:rPr>
          <w:rFonts w:ascii="PT Serif" w:eastAsia="Times New Roman" w:hAnsi="PT Serif" w:cs="Times New Roman"/>
          <w:b/>
          <w:bCs/>
          <w:color w:val="22272F"/>
          <w:sz w:val="23"/>
          <w:szCs w:val="23"/>
          <w:lang w:eastAsia="ru-RU"/>
        </w:rPr>
        <w:t>Правительства</w:t>
      </w:r>
      <w:r w:rsidRPr="00964D90">
        <w:rPr>
          <w:rFonts w:ascii="PT Serif" w:eastAsia="Times New Roman" w:hAnsi="PT Serif" w:cs="Times New Roman"/>
          <w:b/>
          <w:bCs/>
          <w:color w:val="22272F"/>
          <w:sz w:val="23"/>
          <w:szCs w:val="23"/>
          <w:lang w:eastAsia="ru-RU"/>
        </w:rPr>
        <w:br/>
        <w:t>Российской Федерации</w:t>
      </w:r>
      <w:r w:rsidRPr="00964D90">
        <w:rPr>
          <w:rFonts w:ascii="PT Serif" w:eastAsia="Times New Roman" w:hAnsi="PT Serif" w:cs="Times New Roman"/>
          <w:b/>
          <w:bCs/>
          <w:color w:val="22272F"/>
          <w:sz w:val="23"/>
          <w:szCs w:val="23"/>
          <w:lang w:eastAsia="ru-RU"/>
        </w:rPr>
        <w:br/>
        <w:t>от 23 июля 2020 г. N 1095</w:t>
      </w:r>
    </w:p>
    <w:p w:rsidR="00964D90" w:rsidRPr="00964D90" w:rsidRDefault="00964D90" w:rsidP="00964D90">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964D90">
        <w:rPr>
          <w:rFonts w:ascii="PT Serif" w:eastAsia="Times New Roman" w:hAnsi="PT Serif" w:cs="Times New Roman"/>
          <w:color w:val="22272F"/>
          <w:sz w:val="32"/>
          <w:szCs w:val="32"/>
          <w:lang w:eastAsia="ru-RU"/>
        </w:rPr>
        <w:t>Федеральный стандарт</w:t>
      </w:r>
      <w:r w:rsidRPr="00964D90">
        <w:rPr>
          <w:rFonts w:ascii="PT Serif" w:eastAsia="Times New Roman" w:hAnsi="PT Serif" w:cs="Times New Roman"/>
          <w:color w:val="22272F"/>
          <w:sz w:val="32"/>
          <w:szCs w:val="32"/>
          <w:lang w:eastAsia="ru-RU"/>
        </w:rPr>
        <w:br/>
        <w:t>внутреннего государственного (муниципального) финансового контроля "Реализация результатов проверок, ревизий и обследований"</w:t>
      </w:r>
    </w:p>
    <w:p w:rsidR="00964D90" w:rsidRPr="00964D90" w:rsidRDefault="00964D90" w:rsidP="00964D90">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964D90">
        <w:rPr>
          <w:rFonts w:ascii="PT Serif" w:eastAsia="Times New Roman" w:hAnsi="PT Serif" w:cs="Times New Roman"/>
          <w:color w:val="22272F"/>
          <w:sz w:val="32"/>
          <w:szCs w:val="32"/>
          <w:lang w:eastAsia="ru-RU"/>
        </w:rPr>
        <w:t>I. Общие положения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порядка продления срока исполнения представления (предписания) органа контроля.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2</w:t>
      </w:r>
      <w:r w:rsidRPr="00964D90">
        <w:rPr>
          <w:rFonts w:ascii="PT Serif" w:eastAsia="Times New Roman" w:hAnsi="PT Serif" w:cs="Times New Roman"/>
          <w:color w:val="22272F"/>
          <w:sz w:val="23"/>
          <w:szCs w:val="23"/>
          <w:lang w:eastAsia="ru-RU"/>
        </w:rPr>
        <w:t xml:space="preserve">. </w:t>
      </w:r>
      <w:proofErr w:type="gramStart"/>
      <w:r w:rsidRPr="00964D90">
        <w:rPr>
          <w:rFonts w:ascii="PT Serif" w:eastAsia="Times New Roman" w:hAnsi="PT Serif" w:cs="Times New Roman"/>
          <w:color w:val="22272F"/>
          <w:sz w:val="23"/>
          <w:szCs w:val="23"/>
          <w:lang w:eastAsia="ru-RU"/>
        </w:rPr>
        <w:t>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964D90" w:rsidRP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w:t>
      </w:r>
      <w:hyperlink r:id="rId6" w:anchor="/document/12125267/entry/11" w:history="1">
        <w:r w:rsidRPr="00964D90">
          <w:rPr>
            <w:rFonts w:ascii="PT Serif" w:eastAsia="Times New Roman" w:hAnsi="PT Serif" w:cs="Times New Roman"/>
            <w:color w:val="3272C0"/>
            <w:sz w:val="23"/>
            <w:szCs w:val="23"/>
            <w:lang w:eastAsia="ru-RU"/>
          </w:rPr>
          <w:t>законодательством</w:t>
        </w:r>
      </w:hyperlink>
      <w:r w:rsidRPr="00964D90">
        <w:rPr>
          <w:rFonts w:ascii="PT Serif" w:eastAsia="Times New Roman" w:hAnsi="PT Serif" w:cs="Times New Roman"/>
          <w:color w:val="22272F"/>
          <w:sz w:val="23"/>
          <w:szCs w:val="23"/>
          <w:lang w:eastAsia="ru-RU"/>
        </w:rPr>
        <w:t> Российской Федерации об административных правонарушениях.</w:t>
      </w:r>
    </w:p>
    <w:p w:rsidR="00964D90" w:rsidRPr="00964D90" w:rsidRDefault="00964D90" w:rsidP="00964D90">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964D90">
        <w:rPr>
          <w:rFonts w:ascii="PT Serif" w:eastAsia="Times New Roman" w:hAnsi="PT Serif" w:cs="Times New Roman"/>
          <w:color w:val="22272F"/>
          <w:sz w:val="32"/>
          <w:szCs w:val="32"/>
          <w:lang w:eastAsia="ru-RU"/>
        </w:rPr>
        <w:t>II. Реализация результатов контрольного мероприятия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 наличии или об отсутствии оснований для направления представления и (или) предписания объекту контроля;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964D90">
        <w:rPr>
          <w:rFonts w:ascii="PT Serif" w:eastAsia="Times New Roman" w:hAnsi="PT Serif" w:cs="Times New Roman"/>
          <w:color w:val="22272F"/>
          <w:sz w:val="23"/>
          <w:szCs w:val="23"/>
          <w:lang w:eastAsia="ru-RU"/>
        </w:rP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roofErr w:type="gramEnd"/>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lastRenderedPageBreak/>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документов в ходе проверки (ревизии);</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признаков нарушений, которые не могут в полной мере быть подтверждены в рамках проведенной проверки (ревизии);</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rsidRPr="00964D90">
        <w:rPr>
          <w:rFonts w:ascii="PT Serif" w:eastAsia="Times New Roman" w:hAnsi="PT Serif" w:cs="Times New Roman"/>
          <w:color w:val="22272F"/>
          <w:sz w:val="23"/>
          <w:szCs w:val="23"/>
          <w:lang w:eastAsia="ru-RU"/>
        </w:rPr>
        <w:t>недействительными</w:t>
      </w:r>
      <w:proofErr w:type="gramEnd"/>
      <w:r w:rsidRPr="00964D90">
        <w:rPr>
          <w:rFonts w:ascii="PT Serif" w:eastAsia="Times New Roman" w:hAnsi="PT Serif" w:cs="Times New Roman"/>
          <w:color w:val="22272F"/>
          <w:sz w:val="23"/>
          <w:szCs w:val="23"/>
          <w:lang w:eastAsia="ru-RU"/>
        </w:rPr>
        <w:t xml:space="preserve"> в соответствии с </w:t>
      </w:r>
      <w:hyperlink r:id="rId7" w:anchor="/document/10164072/entry/0" w:history="1">
        <w:r w:rsidRPr="00964D90">
          <w:rPr>
            <w:rFonts w:ascii="PT Serif" w:eastAsia="Times New Roman" w:hAnsi="PT Serif" w:cs="Times New Roman"/>
            <w:color w:val="3272C0"/>
            <w:sz w:val="23"/>
            <w:szCs w:val="23"/>
            <w:lang w:eastAsia="ru-RU"/>
          </w:rPr>
          <w:t>Гражданским кодексом</w:t>
        </w:r>
      </w:hyperlink>
      <w:r w:rsidRPr="00964D90">
        <w:rPr>
          <w:rFonts w:ascii="PT Serif" w:eastAsia="Times New Roman" w:hAnsi="PT Serif" w:cs="Times New Roman"/>
          <w:color w:val="22272F"/>
          <w:sz w:val="23"/>
          <w:szCs w:val="23"/>
          <w:lang w:eastAsia="ru-RU"/>
        </w:rPr>
        <w:t> Российской Федерации.</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 xml:space="preserve">6. </w:t>
      </w:r>
      <w:proofErr w:type="gramStart"/>
      <w:r w:rsidRPr="00964D90">
        <w:rPr>
          <w:rFonts w:ascii="PT Serif" w:eastAsia="Times New Roman" w:hAnsi="PT Serif" w:cs="Times New Roman"/>
          <w:color w:val="22272F"/>
          <w:sz w:val="23"/>
          <w:szCs w:val="23"/>
          <w:lang w:eastAsia="ru-RU"/>
        </w:rPr>
        <w:t>Документы и материалы, указанные в </w:t>
      </w:r>
      <w:hyperlink r:id="rId8" w:anchor="/document/74433546/entry/1004" w:history="1">
        <w:r w:rsidRPr="00964D90">
          <w:rPr>
            <w:rFonts w:ascii="PT Serif" w:eastAsia="Times New Roman" w:hAnsi="PT Serif" w:cs="Times New Roman"/>
            <w:color w:val="3272C0"/>
            <w:sz w:val="23"/>
            <w:szCs w:val="23"/>
            <w:lang w:eastAsia="ru-RU"/>
          </w:rPr>
          <w:t>абзаце первом пункта 4</w:t>
        </w:r>
      </w:hyperlink>
      <w:r w:rsidRPr="00964D90">
        <w:rPr>
          <w:rFonts w:ascii="PT Serif" w:eastAsia="Times New Roman" w:hAnsi="PT Serif" w:cs="Times New Roman"/>
          <w:color w:val="22272F"/>
          <w:sz w:val="23"/>
          <w:szCs w:val="23"/>
          <w:lang w:eastAsia="ru-RU"/>
        </w:rPr>
        <w:t> и </w:t>
      </w:r>
      <w:hyperlink r:id="rId9" w:anchor="/document/74433546/entry/1005" w:history="1">
        <w:r w:rsidRPr="00964D90">
          <w:rPr>
            <w:rFonts w:ascii="PT Serif" w:eastAsia="Times New Roman" w:hAnsi="PT Serif" w:cs="Times New Roman"/>
            <w:color w:val="3272C0"/>
            <w:sz w:val="23"/>
            <w:szCs w:val="23"/>
            <w:lang w:eastAsia="ru-RU"/>
          </w:rPr>
          <w:t>пункте 5</w:t>
        </w:r>
      </w:hyperlink>
      <w:r w:rsidRPr="00964D90">
        <w:rPr>
          <w:rFonts w:ascii="PT Serif" w:eastAsia="Times New Roman" w:hAnsi="PT Serif" w:cs="Times New Roman"/>
          <w:color w:val="22272F"/>
          <w:sz w:val="23"/>
          <w:szCs w:val="23"/>
          <w:lang w:eastAsia="ru-RU"/>
        </w:rPr>
        <w:t> стандарта, подлежат рассмотрению руководителем (заместителем руководителя)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w:t>
      </w:r>
      <w:hyperlink r:id="rId10" w:anchor="/document/74433546/entry/1000" w:history="1">
        <w:r w:rsidRPr="00964D90">
          <w:rPr>
            <w:rFonts w:ascii="PT Serif" w:eastAsia="Times New Roman" w:hAnsi="PT Serif" w:cs="Times New Roman"/>
            <w:color w:val="3272C0"/>
            <w:sz w:val="23"/>
            <w:szCs w:val="23"/>
            <w:lang w:eastAsia="ru-RU"/>
          </w:rPr>
          <w:t>федеральным стандартом</w:t>
        </w:r>
      </w:hyperlink>
      <w:r w:rsidRPr="00964D90">
        <w:rPr>
          <w:rFonts w:ascii="PT Serif" w:eastAsia="Times New Roman" w:hAnsi="PT Serif" w:cs="Times New Roman"/>
          <w:color w:val="22272F"/>
          <w:sz w:val="23"/>
          <w:szCs w:val="23"/>
          <w:lang w:eastAsia="ru-RU"/>
        </w:rPr>
        <w:t> внутреннего государственного (муниципального) финансового контроля "Проведение проверок</w:t>
      </w:r>
      <w:proofErr w:type="gramEnd"/>
      <w:r w:rsidRPr="00964D90">
        <w:rPr>
          <w:rFonts w:ascii="PT Serif" w:eastAsia="Times New Roman" w:hAnsi="PT Serif" w:cs="Times New Roman"/>
          <w:color w:val="22272F"/>
          <w:sz w:val="23"/>
          <w:szCs w:val="23"/>
          <w:lang w:eastAsia="ru-RU"/>
        </w:rPr>
        <w:t>, ревизий и обследований и оформление их результатов", утвержденным </w:t>
      </w:r>
      <w:hyperlink r:id="rId11" w:anchor="/document/74539617/entry/0" w:history="1">
        <w:r w:rsidRPr="00964D90">
          <w:rPr>
            <w:rFonts w:ascii="PT Serif" w:eastAsia="Times New Roman" w:hAnsi="PT Serif" w:cs="Times New Roman"/>
            <w:color w:val="3272C0"/>
            <w:sz w:val="23"/>
            <w:szCs w:val="23"/>
            <w:lang w:eastAsia="ru-RU"/>
          </w:rPr>
          <w:t>постановлением</w:t>
        </w:r>
      </w:hyperlink>
      <w:r w:rsidRPr="00964D90">
        <w:rPr>
          <w:rFonts w:ascii="PT Serif" w:eastAsia="Times New Roman" w:hAnsi="PT Serif" w:cs="Times New Roman"/>
          <w:color w:val="22272F"/>
          <w:sz w:val="23"/>
          <w:szCs w:val="23"/>
          <w:lang w:eastAsia="ru-RU"/>
        </w:rPr>
        <w:t>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964D90">
        <w:rPr>
          <w:rFonts w:ascii="PT Serif" w:eastAsia="Times New Roman" w:hAnsi="PT Serif" w:cs="Times New Roman"/>
          <w:color w:val="22272F"/>
          <w:sz w:val="23"/>
          <w:szCs w:val="23"/>
          <w:lang w:eastAsia="ru-RU"/>
        </w:rP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roofErr w:type="gramEnd"/>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964D90">
        <w:rPr>
          <w:rFonts w:ascii="PT Serif" w:eastAsia="Times New Roman" w:hAnsi="PT Serif" w:cs="Times New Roman"/>
          <w:color w:val="22272F"/>
          <w:sz w:val="23"/>
          <w:szCs w:val="23"/>
          <w:lang w:eastAsia="ru-RU"/>
        </w:rP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w:t>
      </w:r>
      <w:proofErr w:type="gramEnd"/>
      <w:r w:rsidRPr="00964D90">
        <w:rPr>
          <w:rFonts w:ascii="PT Serif" w:eastAsia="Times New Roman" w:hAnsi="PT Serif" w:cs="Times New Roman"/>
          <w:color w:val="22272F"/>
          <w:sz w:val="23"/>
          <w:szCs w:val="23"/>
          <w:lang w:eastAsia="ru-RU"/>
        </w:rPr>
        <w:t xml:space="preserve"> (заместителем руководителя) органа контроля.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Рассмотрение руководителем (заместителем руководителя) органа ко</w:t>
      </w:r>
      <w:r>
        <w:rPr>
          <w:rFonts w:ascii="PT Serif" w:eastAsia="Times New Roman" w:hAnsi="PT Serif" w:cs="Times New Roman"/>
          <w:color w:val="22272F"/>
          <w:sz w:val="23"/>
          <w:szCs w:val="23"/>
          <w:lang w:eastAsia="ru-RU"/>
        </w:rPr>
        <w:t>н</w:t>
      </w:r>
      <w:r w:rsidRPr="00964D90">
        <w:rPr>
          <w:rFonts w:ascii="PT Serif" w:eastAsia="Times New Roman" w:hAnsi="PT Serif" w:cs="Times New Roman"/>
          <w:color w:val="22272F"/>
          <w:sz w:val="23"/>
          <w:szCs w:val="23"/>
          <w:lang w:eastAsia="ru-RU"/>
        </w:rPr>
        <w:t>троля документов и материалов, указанных в </w:t>
      </w:r>
      <w:hyperlink r:id="rId12" w:anchor="/document/74433546/entry/1004" w:history="1">
        <w:r w:rsidRPr="00964D90">
          <w:rPr>
            <w:rFonts w:ascii="PT Serif" w:eastAsia="Times New Roman" w:hAnsi="PT Serif" w:cs="Times New Roman"/>
            <w:color w:val="3272C0"/>
            <w:sz w:val="23"/>
            <w:szCs w:val="23"/>
            <w:lang w:eastAsia="ru-RU"/>
          </w:rPr>
          <w:t>абзаце первом пункта 4</w:t>
        </w:r>
      </w:hyperlink>
      <w:r w:rsidRPr="00964D90">
        <w:rPr>
          <w:rFonts w:ascii="PT Serif" w:eastAsia="Times New Roman" w:hAnsi="PT Serif" w:cs="Times New Roman"/>
          <w:color w:val="22272F"/>
          <w:sz w:val="23"/>
          <w:szCs w:val="23"/>
          <w:lang w:eastAsia="ru-RU"/>
        </w:rPr>
        <w:t> и </w:t>
      </w:r>
      <w:hyperlink r:id="rId13" w:anchor="/document/74433546/entry/1005" w:history="1">
        <w:r w:rsidRPr="00964D90">
          <w:rPr>
            <w:rFonts w:ascii="PT Serif" w:eastAsia="Times New Roman" w:hAnsi="PT Serif" w:cs="Times New Roman"/>
            <w:color w:val="3272C0"/>
            <w:sz w:val="23"/>
            <w:szCs w:val="23"/>
            <w:lang w:eastAsia="ru-RU"/>
          </w:rPr>
          <w:t>пункте 5</w:t>
        </w:r>
      </w:hyperlink>
      <w:r w:rsidRPr="00964D90">
        <w:rPr>
          <w:rFonts w:ascii="PT Serif" w:eastAsia="Times New Roman" w:hAnsi="PT Serif" w:cs="Times New Roman"/>
          <w:color w:val="22272F"/>
          <w:sz w:val="23"/>
          <w:szCs w:val="23"/>
          <w:lang w:eastAsia="ru-RU"/>
        </w:rPr>
        <w:t>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 xml:space="preserve">7. </w:t>
      </w:r>
      <w:proofErr w:type="gramStart"/>
      <w:r w:rsidRPr="00964D90">
        <w:rPr>
          <w:rFonts w:ascii="PT Serif" w:eastAsia="Times New Roman" w:hAnsi="PT Serif" w:cs="Times New Roman"/>
          <w:color w:val="22272F"/>
          <w:sz w:val="23"/>
          <w:szCs w:val="23"/>
          <w:lang w:eastAsia="ru-RU"/>
        </w:rPr>
        <w:t xml:space="preserve">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w:t>
      </w:r>
      <w:r w:rsidRPr="00964D90">
        <w:rPr>
          <w:rFonts w:ascii="PT Serif" w:eastAsia="Times New Roman" w:hAnsi="PT Serif" w:cs="Times New Roman"/>
          <w:color w:val="22272F"/>
          <w:sz w:val="23"/>
          <w:szCs w:val="23"/>
          <w:lang w:eastAsia="ru-RU"/>
        </w:rPr>
        <w:lastRenderedPageBreak/>
        <w:t>и иные государственные (муниципальные) органы должностные лица органа контроля, ответственные за</w:t>
      </w:r>
      <w:proofErr w:type="gramEnd"/>
      <w:r w:rsidRPr="00964D90">
        <w:rPr>
          <w:rFonts w:ascii="PT Serif" w:eastAsia="Times New Roman" w:hAnsi="PT Serif" w:cs="Times New Roman"/>
          <w:color w:val="22272F"/>
          <w:sz w:val="23"/>
          <w:szCs w:val="23"/>
          <w:lang w:eastAsia="ru-RU"/>
        </w:rPr>
        <w:t xml:space="preserve">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представления и (или) предписания объекту контроля;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информации в правоохранительные органы, органы прокуратуры и иные государственные (муниципальные) органы.</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8. Орган контроля направляет объекту контроля представление не позднее 10 рабочих дней со дня принятия решения о его направлении.</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одновременно с представлением в случае невозможности устранения нарушения;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 xml:space="preserve">в срок не позднее 5 рабочих дней со дня окончания срока исполнения представления в случае </w:t>
      </w:r>
      <w:proofErr w:type="spellStart"/>
      <w:r w:rsidRPr="00964D90">
        <w:rPr>
          <w:rFonts w:ascii="PT Serif" w:eastAsia="Times New Roman" w:hAnsi="PT Serif" w:cs="Times New Roman"/>
          <w:color w:val="22272F"/>
          <w:sz w:val="23"/>
          <w:szCs w:val="23"/>
          <w:lang w:eastAsia="ru-RU"/>
        </w:rPr>
        <w:t>неустранения</w:t>
      </w:r>
      <w:proofErr w:type="spellEnd"/>
      <w:r w:rsidRPr="00964D90">
        <w:rPr>
          <w:rFonts w:ascii="PT Serif" w:eastAsia="Times New Roman" w:hAnsi="PT Serif" w:cs="Times New Roman"/>
          <w:color w:val="22272F"/>
          <w:sz w:val="23"/>
          <w:szCs w:val="23"/>
          <w:lang w:eastAsia="ru-RU"/>
        </w:rPr>
        <w:t xml:space="preserve"> нарушения либо частичного </w:t>
      </w:r>
      <w:proofErr w:type="spellStart"/>
      <w:r w:rsidRPr="00964D90">
        <w:rPr>
          <w:rFonts w:ascii="PT Serif" w:eastAsia="Times New Roman" w:hAnsi="PT Serif" w:cs="Times New Roman"/>
          <w:color w:val="22272F"/>
          <w:sz w:val="23"/>
          <w:szCs w:val="23"/>
          <w:lang w:eastAsia="ru-RU"/>
        </w:rPr>
        <w:t>неустранения</w:t>
      </w:r>
      <w:proofErr w:type="spellEnd"/>
      <w:r w:rsidRPr="00964D90">
        <w:rPr>
          <w:rFonts w:ascii="PT Serif" w:eastAsia="Times New Roman" w:hAnsi="PT Serif" w:cs="Times New Roman"/>
          <w:color w:val="22272F"/>
          <w:sz w:val="23"/>
          <w:szCs w:val="23"/>
          <w:lang w:eastAsia="ru-RU"/>
        </w:rPr>
        <w:t xml:space="preserve"> нарушения в установленный в представлении срок.</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10. В срок не позднее 7 рабочих дней со дня направления объекту контроля представления, предписания орган контроля направляет их копии:</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главному распорядителю (распорядителю) бюджетных сре</w:t>
      </w:r>
      <w:proofErr w:type="gramStart"/>
      <w:r w:rsidRPr="00964D90">
        <w:rPr>
          <w:rFonts w:ascii="PT Serif" w:eastAsia="Times New Roman" w:hAnsi="PT Serif" w:cs="Times New Roman"/>
          <w:color w:val="22272F"/>
          <w:sz w:val="23"/>
          <w:szCs w:val="23"/>
          <w:lang w:eastAsia="ru-RU"/>
        </w:rPr>
        <w:t>дств в сл</w:t>
      </w:r>
      <w:proofErr w:type="gramEnd"/>
      <w:r w:rsidRPr="00964D90">
        <w:rPr>
          <w:rFonts w:ascii="PT Serif" w:eastAsia="Times New Roman" w:hAnsi="PT Serif" w:cs="Times New Roman"/>
          <w:color w:val="22272F"/>
          <w:sz w:val="23"/>
          <w:szCs w:val="23"/>
          <w:lang w:eastAsia="ru-RU"/>
        </w:rPr>
        <w:t>учае, если объект контроля является подведомственным ему получателем бюджетных средств;</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Порядок направления органом контроля копий представлений и предписаний может быть установлен </w:t>
      </w:r>
      <w:hyperlink r:id="rId14" w:anchor="/document/405223277/entry/1000" w:history="1">
        <w:r w:rsidRPr="00964D90">
          <w:rPr>
            <w:rFonts w:ascii="PT Serif" w:eastAsia="Times New Roman" w:hAnsi="PT Serif" w:cs="Times New Roman"/>
            <w:color w:val="3272C0"/>
            <w:sz w:val="23"/>
            <w:szCs w:val="23"/>
            <w:lang w:eastAsia="ru-RU"/>
          </w:rPr>
          <w:t>ведомственным стандартом</w:t>
        </w:r>
      </w:hyperlink>
      <w:r w:rsidRPr="00964D90">
        <w:rPr>
          <w:rFonts w:ascii="PT Serif" w:eastAsia="Times New Roman" w:hAnsi="PT Serif" w:cs="Times New Roman"/>
          <w:color w:val="22272F"/>
          <w:sz w:val="23"/>
          <w:szCs w:val="23"/>
          <w:lang w:eastAsia="ru-RU"/>
        </w:rPr>
        <w:t> органа контроля.</w:t>
      </w:r>
    </w:p>
    <w:p w:rsidR="00964D90" w:rsidRDefault="00964D90" w:rsidP="00964D90">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11. В представлении помимо требований, предусмотренных </w:t>
      </w:r>
      <w:hyperlink r:id="rId15" w:anchor="/document/12112604/entry/27022" w:history="1">
        <w:r w:rsidRPr="00964D90">
          <w:rPr>
            <w:rFonts w:ascii="PT Serif" w:eastAsia="Times New Roman" w:hAnsi="PT Serif" w:cs="Times New Roman"/>
            <w:color w:val="3272C0"/>
            <w:sz w:val="23"/>
            <w:szCs w:val="23"/>
            <w:lang w:eastAsia="ru-RU"/>
          </w:rPr>
          <w:t>пунктом 2 статьи 270</w:t>
        </w:r>
        <w:r w:rsidRPr="00964D90">
          <w:rPr>
            <w:rFonts w:ascii="PT Serif" w:eastAsia="Times New Roman" w:hAnsi="PT Serif" w:cs="Times New Roman"/>
            <w:color w:val="3272C0"/>
            <w:sz w:val="16"/>
            <w:szCs w:val="16"/>
            <w:vertAlign w:val="superscript"/>
            <w:lang w:eastAsia="ru-RU"/>
          </w:rPr>
          <w:t> 2</w:t>
        </w:r>
      </w:hyperlink>
      <w:r w:rsidRPr="00964D90">
        <w:rPr>
          <w:rFonts w:ascii="PT Serif" w:eastAsia="Times New Roman" w:hAnsi="PT Serif" w:cs="Times New Roman"/>
          <w:color w:val="22272F"/>
          <w:sz w:val="23"/>
          <w:szCs w:val="23"/>
          <w:lang w:eastAsia="ru-RU"/>
        </w:rPr>
        <w:t> Бюджетного кодекса Российской Федерации, указываются: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объект контроля, тема проверки (ревизии), проверенный период;</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основания проведения проверки (ревизии), реквизиты акта проверки (ревизии);</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12. В предписании помимо требований, предусмотренных </w:t>
      </w:r>
      <w:hyperlink r:id="rId16" w:anchor="/document/12112604/entry/27023" w:history="1">
        <w:r w:rsidRPr="00964D90">
          <w:rPr>
            <w:rFonts w:ascii="PT Serif" w:eastAsia="Times New Roman" w:hAnsi="PT Serif" w:cs="Times New Roman"/>
            <w:color w:val="3272C0"/>
            <w:sz w:val="23"/>
            <w:szCs w:val="23"/>
            <w:lang w:eastAsia="ru-RU"/>
          </w:rPr>
          <w:t>пунктом 3 статьи 270</w:t>
        </w:r>
        <w:r w:rsidRPr="00964D90">
          <w:rPr>
            <w:rFonts w:ascii="PT Serif" w:eastAsia="Times New Roman" w:hAnsi="PT Serif" w:cs="Times New Roman"/>
            <w:color w:val="3272C0"/>
            <w:sz w:val="16"/>
            <w:szCs w:val="16"/>
            <w:vertAlign w:val="superscript"/>
            <w:lang w:eastAsia="ru-RU"/>
          </w:rPr>
          <w:t> 2</w:t>
        </w:r>
      </w:hyperlink>
      <w:r w:rsidRPr="00964D90">
        <w:rPr>
          <w:rFonts w:ascii="PT Serif" w:eastAsia="Times New Roman" w:hAnsi="PT Serif" w:cs="Times New Roman"/>
          <w:color w:val="22272F"/>
          <w:sz w:val="23"/>
          <w:szCs w:val="23"/>
          <w:lang w:eastAsia="ru-RU"/>
        </w:rPr>
        <w:t> Бюджетного кодекса Российской Федерации, указываются: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объект контроля, тема проверки (ревизии), проверенный период;</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964D90">
        <w:rPr>
          <w:rFonts w:ascii="PT Serif" w:eastAsia="Times New Roman" w:hAnsi="PT Serif" w:cs="Times New Roman"/>
          <w:color w:val="22272F"/>
          <w:sz w:val="23"/>
          <w:szCs w:val="23"/>
          <w:lang w:eastAsia="ru-RU"/>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964D90">
        <w:rPr>
          <w:rFonts w:ascii="PT Serif" w:eastAsia="Times New Roman" w:hAnsi="PT Serif" w:cs="Times New Roman"/>
          <w:color w:val="22272F"/>
          <w:sz w:val="23"/>
          <w:szCs w:val="23"/>
          <w:lang w:eastAsia="ru-RU"/>
        </w:rPr>
        <w:t>претензионно</w:t>
      </w:r>
      <w:proofErr w:type="spellEnd"/>
      <w:r w:rsidRPr="00964D90">
        <w:rPr>
          <w:rFonts w:ascii="PT Serif" w:eastAsia="Times New Roman" w:hAnsi="PT Serif" w:cs="Times New Roman"/>
          <w:color w:val="22272F"/>
          <w:sz w:val="23"/>
          <w:szCs w:val="23"/>
          <w:lang w:eastAsia="ru-RU"/>
        </w:rPr>
        <w:t>-исковой работы;</w:t>
      </w:r>
      <w:proofErr w:type="gramEnd"/>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964D90"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 xml:space="preserve">13. </w:t>
      </w:r>
      <w:proofErr w:type="gramStart"/>
      <w:r w:rsidRPr="00964D90">
        <w:rPr>
          <w:rFonts w:ascii="PT Serif" w:eastAsia="Times New Roman" w:hAnsi="PT Serif" w:cs="Times New Roman"/>
          <w:color w:val="22272F"/>
          <w:sz w:val="23"/>
          <w:szCs w:val="23"/>
          <w:lang w:eastAsia="ru-RU"/>
        </w:rPr>
        <w:t>Контроль за</w:t>
      </w:r>
      <w:proofErr w:type="gramEnd"/>
      <w:r w:rsidRPr="00964D90">
        <w:rPr>
          <w:rFonts w:ascii="PT Serif" w:eastAsia="Times New Roman" w:hAnsi="PT Serif" w:cs="Times New Roman"/>
          <w:color w:val="22272F"/>
          <w:sz w:val="23"/>
          <w:szCs w:val="23"/>
          <w:lang w:eastAsia="ru-RU"/>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lastRenderedPageBreak/>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 в установленный срок.</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964D90">
        <w:rPr>
          <w:rFonts w:ascii="PT Serif" w:eastAsia="Times New Roman" w:hAnsi="PT Serif" w:cs="Times New Roman"/>
          <w:color w:val="22272F"/>
          <w:sz w:val="23"/>
          <w:szCs w:val="23"/>
          <w:lang w:eastAsia="ru-RU"/>
        </w:rPr>
        <w:t>Неисполнение представления в части устранения бюджетных нарушений, предусмотренных </w:t>
      </w:r>
      <w:hyperlink r:id="rId17" w:anchor="/document/12112604/entry/20030" w:history="1">
        <w:r w:rsidRPr="00964D90">
          <w:rPr>
            <w:rFonts w:ascii="PT Serif" w:eastAsia="Times New Roman" w:hAnsi="PT Serif" w:cs="Times New Roman"/>
            <w:color w:val="3272C0"/>
            <w:sz w:val="23"/>
            <w:szCs w:val="23"/>
            <w:lang w:eastAsia="ru-RU"/>
          </w:rPr>
          <w:t>главой 30</w:t>
        </w:r>
      </w:hyperlink>
      <w:r w:rsidRPr="00964D90">
        <w:rPr>
          <w:rFonts w:ascii="PT Serif" w:eastAsia="Times New Roman" w:hAnsi="PT Serif" w:cs="Times New Roman"/>
          <w:color w:val="22272F"/>
          <w:sz w:val="23"/>
          <w:szCs w:val="23"/>
          <w:lang w:eastAsia="ru-RU"/>
        </w:rPr>
        <w:t>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roofErr w:type="gramEnd"/>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 xml:space="preserve">В случае неисполнения </w:t>
      </w:r>
      <w:proofErr w:type="gramStart"/>
      <w:r w:rsidRPr="00964D90">
        <w:rPr>
          <w:rFonts w:ascii="PT Serif" w:eastAsia="Times New Roman" w:hAnsi="PT Serif" w:cs="Times New Roman"/>
          <w:color w:val="22272F"/>
          <w:sz w:val="23"/>
          <w:szCs w:val="23"/>
          <w:lang w:eastAsia="ru-RU"/>
        </w:rPr>
        <w:t>предписания</w:t>
      </w:r>
      <w:proofErr w:type="gramEnd"/>
      <w:r w:rsidRPr="00964D90">
        <w:rPr>
          <w:rFonts w:ascii="PT Serif" w:eastAsia="Times New Roman" w:hAnsi="PT Serif" w:cs="Times New Roman"/>
          <w:color w:val="22272F"/>
          <w:sz w:val="23"/>
          <w:szCs w:val="23"/>
          <w:lang w:eastAsia="ru-RU"/>
        </w:rPr>
        <w:t xml:space="preserve">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16. Обжалование представлений и предписаний органа контроля осуществляется: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в досудебном порядке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в судебном порядке по правилам, установленным законодательством Российской Федерации.</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17. В уведомлении о применении бюджетных мер принуждения помимо информации, предусмотренной </w:t>
      </w:r>
      <w:hyperlink r:id="rId18" w:anchor="/document/12112604/entry/30625" w:history="1">
        <w:r w:rsidRPr="00964D90">
          <w:rPr>
            <w:rFonts w:ascii="PT Serif" w:eastAsia="Times New Roman" w:hAnsi="PT Serif" w:cs="Times New Roman"/>
            <w:color w:val="3272C0"/>
            <w:sz w:val="23"/>
            <w:szCs w:val="23"/>
            <w:lang w:eastAsia="ru-RU"/>
          </w:rPr>
          <w:t>абзацем первым пункта 5 статьи 306</w:t>
        </w:r>
        <w:r w:rsidRPr="00964D90">
          <w:rPr>
            <w:rFonts w:ascii="PT Serif" w:eastAsia="Times New Roman" w:hAnsi="PT Serif" w:cs="Times New Roman"/>
            <w:color w:val="3272C0"/>
            <w:sz w:val="16"/>
            <w:szCs w:val="16"/>
            <w:vertAlign w:val="superscript"/>
            <w:lang w:eastAsia="ru-RU"/>
          </w:rPr>
          <w:t> 2</w:t>
        </w:r>
      </w:hyperlink>
      <w:r w:rsidRPr="00964D90">
        <w:rPr>
          <w:rFonts w:ascii="PT Serif" w:eastAsia="Times New Roman" w:hAnsi="PT Serif" w:cs="Times New Roman"/>
          <w:color w:val="22272F"/>
          <w:sz w:val="23"/>
          <w:szCs w:val="23"/>
          <w:lang w:eastAsia="ru-RU"/>
        </w:rPr>
        <w:t> Бюджетного кодекса Российской Федерации, указываются объект контроля, тема проверки (ревизии), проверенный период.</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19" w:anchor="/document/12112604/entry/306253" w:history="1">
        <w:r w:rsidRPr="00964D90">
          <w:rPr>
            <w:rFonts w:ascii="PT Serif" w:eastAsia="Times New Roman" w:hAnsi="PT Serif" w:cs="Times New Roman"/>
            <w:color w:val="3272C0"/>
            <w:sz w:val="23"/>
            <w:szCs w:val="23"/>
            <w:lang w:eastAsia="ru-RU"/>
          </w:rPr>
          <w:t>абзацем третьим пункта 5 статьи 306</w:t>
        </w:r>
        <w:r w:rsidRPr="00964D90">
          <w:rPr>
            <w:rFonts w:ascii="PT Serif" w:eastAsia="Times New Roman" w:hAnsi="PT Serif" w:cs="Times New Roman"/>
            <w:color w:val="3272C0"/>
            <w:sz w:val="16"/>
            <w:szCs w:val="16"/>
            <w:vertAlign w:val="superscript"/>
            <w:lang w:eastAsia="ru-RU"/>
          </w:rPr>
          <w:t> 2</w:t>
        </w:r>
      </w:hyperlink>
      <w:r w:rsidRPr="00964D90">
        <w:rPr>
          <w:rFonts w:ascii="PT Serif" w:eastAsia="Times New Roman" w:hAnsi="PT Serif" w:cs="Times New Roman"/>
          <w:color w:val="22272F"/>
          <w:sz w:val="23"/>
          <w:szCs w:val="23"/>
          <w:lang w:eastAsia="ru-RU"/>
        </w:rPr>
        <w:t> Бюджетного кодекса Российской Федерации.</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964D90">
        <w:rPr>
          <w:rFonts w:ascii="PT Serif" w:eastAsia="Times New Roman" w:hAnsi="PT Serif" w:cs="Times New Roman"/>
          <w:color w:val="22272F"/>
          <w:sz w:val="23"/>
          <w:szCs w:val="23"/>
          <w:lang w:eastAsia="ru-RU"/>
        </w:rPr>
        <w:t>По основаниям и в порядке, которые предусмотрены </w:t>
      </w:r>
      <w:hyperlink r:id="rId20" w:anchor="/document/12112604/entry/306254" w:history="1">
        <w:r w:rsidRPr="00964D90">
          <w:rPr>
            <w:rFonts w:ascii="PT Serif" w:eastAsia="Times New Roman" w:hAnsi="PT Serif" w:cs="Times New Roman"/>
            <w:color w:val="3272C0"/>
            <w:sz w:val="23"/>
            <w:szCs w:val="23"/>
            <w:lang w:eastAsia="ru-RU"/>
          </w:rPr>
          <w:t>абзацем четвертым пункта 5 статьи 306</w:t>
        </w:r>
        <w:r w:rsidRPr="00964D90">
          <w:rPr>
            <w:rFonts w:ascii="PT Serif" w:eastAsia="Times New Roman" w:hAnsi="PT Serif" w:cs="Times New Roman"/>
            <w:color w:val="3272C0"/>
            <w:sz w:val="16"/>
            <w:szCs w:val="16"/>
            <w:vertAlign w:val="superscript"/>
            <w:lang w:eastAsia="ru-RU"/>
          </w:rPr>
          <w:t> 2</w:t>
        </w:r>
      </w:hyperlink>
      <w:r w:rsidRPr="00964D90">
        <w:rPr>
          <w:rFonts w:ascii="PT Serif" w:eastAsia="Times New Roman" w:hAnsi="PT Serif" w:cs="Times New Roman"/>
          <w:color w:val="22272F"/>
          <w:sz w:val="23"/>
          <w:szCs w:val="23"/>
          <w:lang w:eastAsia="ru-RU"/>
        </w:rPr>
        <w:t>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21" w:anchor="/document/12112604/entry/30625" w:history="1">
        <w:r w:rsidRPr="00964D90">
          <w:rPr>
            <w:rFonts w:ascii="PT Serif" w:eastAsia="Times New Roman" w:hAnsi="PT Serif" w:cs="Times New Roman"/>
            <w:color w:val="3272C0"/>
            <w:sz w:val="23"/>
            <w:szCs w:val="23"/>
            <w:lang w:eastAsia="ru-RU"/>
          </w:rPr>
          <w:t>абзацем первым пункта 5 статьи 306</w:t>
        </w:r>
        <w:r w:rsidRPr="00964D90">
          <w:rPr>
            <w:rFonts w:ascii="PT Serif" w:eastAsia="Times New Roman" w:hAnsi="PT Serif" w:cs="Times New Roman"/>
            <w:color w:val="3272C0"/>
            <w:sz w:val="16"/>
            <w:szCs w:val="16"/>
            <w:vertAlign w:val="superscript"/>
            <w:lang w:eastAsia="ru-RU"/>
          </w:rPr>
          <w:t> 2</w:t>
        </w:r>
      </w:hyperlink>
      <w:r w:rsidRPr="00964D90">
        <w:rPr>
          <w:rFonts w:ascii="PT Serif" w:eastAsia="Times New Roman" w:hAnsi="PT Serif" w:cs="Times New Roman"/>
          <w:color w:val="22272F"/>
          <w:sz w:val="23"/>
          <w:szCs w:val="23"/>
          <w:lang w:eastAsia="ru-RU"/>
        </w:rPr>
        <w:t> Бюджетного кодекса Российской Федерации, указание</w:t>
      </w:r>
      <w:proofErr w:type="gramEnd"/>
      <w:r w:rsidRPr="00964D90">
        <w:rPr>
          <w:rFonts w:ascii="PT Serif" w:eastAsia="Times New Roman" w:hAnsi="PT Serif" w:cs="Times New Roman"/>
          <w:color w:val="22272F"/>
          <w:sz w:val="23"/>
          <w:szCs w:val="23"/>
          <w:lang w:eastAsia="ru-RU"/>
        </w:rPr>
        <w:t xml:space="preserve"> на объект контроля, тему проверки (ревизии), проверенный период.</w:t>
      </w:r>
    </w:p>
    <w:p w:rsidR="00964D90" w:rsidRPr="00964D90"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18. Формы </w:t>
      </w:r>
      <w:hyperlink r:id="rId22" w:anchor="/document/400839749/entry/3000" w:history="1">
        <w:r w:rsidRPr="00964D90">
          <w:rPr>
            <w:rFonts w:ascii="PT Serif" w:eastAsia="Times New Roman" w:hAnsi="PT Serif" w:cs="Times New Roman"/>
            <w:color w:val="3272C0"/>
            <w:sz w:val="23"/>
            <w:szCs w:val="23"/>
            <w:lang w:eastAsia="ru-RU"/>
          </w:rPr>
          <w:t>представления</w:t>
        </w:r>
      </w:hyperlink>
      <w:r w:rsidRPr="00964D90">
        <w:rPr>
          <w:rFonts w:ascii="PT Serif" w:eastAsia="Times New Roman" w:hAnsi="PT Serif" w:cs="Times New Roman"/>
          <w:color w:val="22272F"/>
          <w:sz w:val="23"/>
          <w:szCs w:val="23"/>
          <w:lang w:eastAsia="ru-RU"/>
        </w:rPr>
        <w:t>, </w:t>
      </w:r>
      <w:hyperlink r:id="rId23" w:anchor="/document/400839749/entry/4000" w:history="1">
        <w:r w:rsidRPr="00964D90">
          <w:rPr>
            <w:rFonts w:ascii="PT Serif" w:eastAsia="Times New Roman" w:hAnsi="PT Serif" w:cs="Times New Roman"/>
            <w:color w:val="3272C0"/>
            <w:sz w:val="23"/>
            <w:szCs w:val="23"/>
            <w:lang w:eastAsia="ru-RU"/>
          </w:rPr>
          <w:t>предписания</w:t>
        </w:r>
      </w:hyperlink>
      <w:r w:rsidRPr="00964D90">
        <w:rPr>
          <w:rFonts w:ascii="PT Serif" w:eastAsia="Times New Roman" w:hAnsi="PT Serif" w:cs="Times New Roman"/>
          <w:color w:val="22272F"/>
          <w:sz w:val="23"/>
          <w:szCs w:val="23"/>
          <w:lang w:eastAsia="ru-RU"/>
        </w:rPr>
        <w:t> и </w:t>
      </w:r>
      <w:hyperlink r:id="rId24" w:anchor="/document/400839749/entry/5000" w:history="1">
        <w:r w:rsidRPr="00964D90">
          <w:rPr>
            <w:rFonts w:ascii="PT Serif" w:eastAsia="Times New Roman" w:hAnsi="PT Serif" w:cs="Times New Roman"/>
            <w:color w:val="3272C0"/>
            <w:sz w:val="23"/>
            <w:szCs w:val="23"/>
            <w:lang w:eastAsia="ru-RU"/>
          </w:rPr>
          <w:t>уведомления</w:t>
        </w:r>
      </w:hyperlink>
      <w:r w:rsidRPr="00964D90">
        <w:rPr>
          <w:rFonts w:ascii="PT Serif" w:eastAsia="Times New Roman" w:hAnsi="PT Serif" w:cs="Times New Roman"/>
          <w:color w:val="22272F"/>
          <w:sz w:val="23"/>
          <w:szCs w:val="23"/>
          <w:lang w:eastAsia="ru-RU"/>
        </w:rPr>
        <w:t> о применении бюджетных мер принуждения устанавливаются Министерством финансов Российской Федерации.</w:t>
      </w:r>
    </w:p>
    <w:p w:rsidR="00964D90" w:rsidRPr="00964D90" w:rsidRDefault="00964D90" w:rsidP="00964D90">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964D90">
        <w:rPr>
          <w:rFonts w:ascii="PT Serif" w:eastAsia="Times New Roman" w:hAnsi="PT Serif" w:cs="Times New Roman"/>
          <w:color w:val="22272F"/>
          <w:sz w:val="32"/>
          <w:szCs w:val="32"/>
          <w:lang w:eastAsia="ru-RU"/>
        </w:rPr>
        <w:t>III. Продление срока исполнения представления, предписания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lastRenderedPageBreak/>
        <w:t xml:space="preserve">19. </w:t>
      </w:r>
      <w:proofErr w:type="gramStart"/>
      <w:r w:rsidRPr="00964D90">
        <w:rPr>
          <w:rFonts w:ascii="PT Serif" w:eastAsia="Times New Roman" w:hAnsi="PT Serif" w:cs="Times New Roman"/>
          <w:color w:val="22272F"/>
          <w:sz w:val="23"/>
          <w:szCs w:val="23"/>
          <w:lang w:eastAsia="ru-RU"/>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 xml:space="preserve">осуществление объектом контроля </w:t>
      </w:r>
      <w:proofErr w:type="spellStart"/>
      <w:r w:rsidRPr="00964D90">
        <w:rPr>
          <w:rFonts w:ascii="PT Serif" w:eastAsia="Times New Roman" w:hAnsi="PT Serif" w:cs="Times New Roman"/>
          <w:color w:val="22272F"/>
          <w:sz w:val="23"/>
          <w:szCs w:val="23"/>
          <w:lang w:eastAsia="ru-RU"/>
        </w:rPr>
        <w:t>претензионно</w:t>
      </w:r>
      <w:proofErr w:type="spellEnd"/>
      <w:r w:rsidRPr="00964D90">
        <w:rPr>
          <w:rFonts w:ascii="PT Serif" w:eastAsia="Times New Roman" w:hAnsi="PT Serif" w:cs="Times New Roman"/>
          <w:color w:val="22272F"/>
          <w:sz w:val="23"/>
          <w:szCs w:val="23"/>
          <w:lang w:eastAsia="ru-RU"/>
        </w:rPr>
        <w:t>-исковой работы в целях исполнения представления (предписания);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проведение реорганизации объекта контроля;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рассмотрение жалобы объекта контроля (его уполномоченного представителя) в соответствии с </w:t>
      </w:r>
      <w:hyperlink r:id="rId25" w:anchor="/document/74539619/entry/1000" w:history="1">
        <w:r w:rsidRPr="00964D90">
          <w:rPr>
            <w:rFonts w:ascii="PT Serif" w:eastAsia="Times New Roman" w:hAnsi="PT Serif" w:cs="Times New Roman"/>
            <w:color w:val="3272C0"/>
            <w:sz w:val="23"/>
            <w:szCs w:val="23"/>
            <w:lang w:eastAsia="ru-RU"/>
          </w:rPr>
          <w:t>федеральным стандартом</w:t>
        </w:r>
      </w:hyperlink>
      <w:r w:rsidRPr="00964D90">
        <w:rPr>
          <w:rFonts w:ascii="PT Serif" w:eastAsia="Times New Roman" w:hAnsi="PT Serif" w:cs="Times New Roman"/>
          <w:color w:val="22272F"/>
          <w:sz w:val="23"/>
          <w:szCs w:val="23"/>
          <w:lang w:eastAsia="ru-RU"/>
        </w:rPr>
        <w:t>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 xml:space="preserve">20. Обращение, содержащее основания для продления срока исполнения представления (предписания), может быть направлено органу контроля не </w:t>
      </w:r>
      <w:proofErr w:type="gramStart"/>
      <w:r w:rsidRPr="00964D90">
        <w:rPr>
          <w:rFonts w:ascii="PT Serif" w:eastAsia="Times New Roman" w:hAnsi="PT Serif" w:cs="Times New Roman"/>
          <w:color w:val="22272F"/>
          <w:sz w:val="23"/>
          <w:szCs w:val="23"/>
          <w:lang w:eastAsia="ru-RU"/>
        </w:rPr>
        <w:t>позднее</w:t>
      </w:r>
      <w:proofErr w:type="gramEnd"/>
      <w:r w:rsidRPr="00964D90">
        <w:rPr>
          <w:rFonts w:ascii="PT Serif" w:eastAsia="Times New Roman" w:hAnsi="PT Serif" w:cs="Times New Roman"/>
          <w:color w:val="22272F"/>
          <w:sz w:val="23"/>
          <w:szCs w:val="23"/>
          <w:lang w:eastAsia="ru-RU"/>
        </w:rPr>
        <w:t xml:space="preserve"> чем за 10 рабочих дней до окончания срока исполнения представления (предписания).</w:t>
      </w:r>
    </w:p>
    <w:p w:rsidR="00D20445"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964D90">
        <w:rPr>
          <w:rFonts w:ascii="PT Serif" w:eastAsia="Times New Roman" w:hAnsi="PT Serif" w:cs="Times New Roman"/>
          <w:color w:val="22272F"/>
          <w:sz w:val="23"/>
          <w:szCs w:val="23"/>
          <w:lang w:eastAsia="ru-RU"/>
        </w:rP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964D90" w:rsidRPr="00964D90" w:rsidRDefault="00964D90" w:rsidP="00D20445">
      <w:pPr>
        <w:shd w:val="clear" w:color="auto" w:fill="FFFFFF"/>
        <w:spacing w:after="0" w:line="240" w:lineRule="auto"/>
        <w:ind w:firstLine="426"/>
        <w:jc w:val="both"/>
        <w:rPr>
          <w:rFonts w:ascii="PT Serif" w:eastAsia="Times New Roman" w:hAnsi="PT Serif" w:cs="Times New Roman"/>
          <w:color w:val="22272F"/>
          <w:sz w:val="23"/>
          <w:szCs w:val="23"/>
          <w:lang w:eastAsia="ru-RU"/>
        </w:rPr>
      </w:pPr>
      <w:bookmarkStart w:id="0" w:name="_GoBack"/>
      <w:bookmarkEnd w:id="0"/>
      <w:r w:rsidRPr="00964D90">
        <w:rPr>
          <w:rFonts w:ascii="PT Serif" w:eastAsia="Times New Roman" w:hAnsi="PT Serif" w:cs="Times New Roman"/>
          <w:color w:val="22272F"/>
          <w:sz w:val="23"/>
          <w:szCs w:val="23"/>
          <w:lang w:eastAsia="ru-RU"/>
        </w:rPr>
        <w:t>22. Орган контроля уведомляет объект контроля о решении, принятом в соответствии с </w:t>
      </w:r>
      <w:hyperlink r:id="rId26" w:anchor="/document/74433546/entry/1021" w:history="1">
        <w:r w:rsidRPr="00964D90">
          <w:rPr>
            <w:rFonts w:ascii="PT Serif" w:eastAsia="Times New Roman" w:hAnsi="PT Serif" w:cs="Times New Roman"/>
            <w:color w:val="3272C0"/>
            <w:sz w:val="23"/>
            <w:szCs w:val="23"/>
            <w:lang w:eastAsia="ru-RU"/>
          </w:rPr>
          <w:t>пунктом 21</w:t>
        </w:r>
      </w:hyperlink>
      <w:r w:rsidRPr="00964D90">
        <w:rPr>
          <w:rFonts w:ascii="PT Serif" w:eastAsia="Times New Roman" w:hAnsi="PT Serif" w:cs="Times New Roman"/>
          <w:color w:val="22272F"/>
          <w:sz w:val="23"/>
          <w:szCs w:val="23"/>
          <w:lang w:eastAsia="ru-RU"/>
        </w:rPr>
        <w:t> стандарта, не позднее дня, следующего за днем принятия указанного решения.</w:t>
      </w:r>
    </w:p>
    <w:p w:rsidR="00C328A8" w:rsidRDefault="00C328A8"/>
    <w:sectPr w:rsidR="00C3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90"/>
    <w:rsid w:val="00964D90"/>
    <w:rsid w:val="00C328A8"/>
    <w:rsid w:val="00D20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64D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4D90"/>
    <w:rPr>
      <w:rFonts w:ascii="Times New Roman" w:eastAsia="Times New Roman" w:hAnsi="Times New Roman" w:cs="Times New Roman"/>
      <w:b/>
      <w:bCs/>
      <w:sz w:val="24"/>
      <w:szCs w:val="24"/>
      <w:lang w:eastAsia="ru-RU"/>
    </w:rPr>
  </w:style>
  <w:style w:type="paragraph" w:customStyle="1" w:styleId="s3">
    <w:name w:val="s_3"/>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64D90"/>
    <w:rPr>
      <w:i/>
      <w:iCs/>
    </w:rPr>
  </w:style>
  <w:style w:type="paragraph" w:customStyle="1" w:styleId="s1">
    <w:name w:val="s_1"/>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4D90"/>
    <w:rPr>
      <w:color w:val="0000FF"/>
      <w:u w:val="single"/>
    </w:rPr>
  </w:style>
  <w:style w:type="paragraph" w:customStyle="1" w:styleId="s16">
    <w:name w:val="s_16"/>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4D90"/>
  </w:style>
  <w:style w:type="paragraph" w:customStyle="1" w:styleId="s22">
    <w:name w:val="s_22"/>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64D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4D90"/>
    <w:rPr>
      <w:rFonts w:ascii="Times New Roman" w:eastAsia="Times New Roman" w:hAnsi="Times New Roman" w:cs="Times New Roman"/>
      <w:b/>
      <w:bCs/>
      <w:sz w:val="24"/>
      <w:szCs w:val="24"/>
      <w:lang w:eastAsia="ru-RU"/>
    </w:rPr>
  </w:style>
  <w:style w:type="paragraph" w:customStyle="1" w:styleId="s3">
    <w:name w:val="s_3"/>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64D90"/>
    <w:rPr>
      <w:i/>
      <w:iCs/>
    </w:rPr>
  </w:style>
  <w:style w:type="paragraph" w:customStyle="1" w:styleId="s1">
    <w:name w:val="s_1"/>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4D90"/>
    <w:rPr>
      <w:color w:val="0000FF"/>
      <w:u w:val="single"/>
    </w:rPr>
  </w:style>
  <w:style w:type="paragraph" w:customStyle="1" w:styleId="s16">
    <w:name w:val="s_16"/>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4D90"/>
  </w:style>
  <w:style w:type="paragraph" w:customStyle="1" w:styleId="s22">
    <w:name w:val="s_22"/>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64D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00077">
      <w:bodyDiv w:val="1"/>
      <w:marLeft w:val="0"/>
      <w:marRight w:val="0"/>
      <w:marTop w:val="0"/>
      <w:marBottom w:val="0"/>
      <w:divBdr>
        <w:top w:val="none" w:sz="0" w:space="0" w:color="auto"/>
        <w:left w:val="none" w:sz="0" w:space="0" w:color="auto"/>
        <w:bottom w:val="none" w:sz="0" w:space="0" w:color="auto"/>
        <w:right w:val="none" w:sz="0" w:space="0" w:color="auto"/>
      </w:divBdr>
      <w:divsChild>
        <w:div w:id="1516846280">
          <w:marLeft w:val="0"/>
          <w:marRight w:val="0"/>
          <w:marTop w:val="240"/>
          <w:marBottom w:val="240"/>
          <w:divBdr>
            <w:top w:val="none" w:sz="0" w:space="0" w:color="auto"/>
            <w:left w:val="none" w:sz="0" w:space="0" w:color="auto"/>
            <w:bottom w:val="none" w:sz="0" w:space="0" w:color="auto"/>
            <w:right w:val="none" w:sz="0" w:space="0" w:color="auto"/>
          </w:divBdr>
        </w:div>
        <w:div w:id="1112481454">
          <w:marLeft w:val="0"/>
          <w:marRight w:val="0"/>
          <w:marTop w:val="240"/>
          <w:marBottom w:val="240"/>
          <w:divBdr>
            <w:top w:val="none" w:sz="0" w:space="0" w:color="auto"/>
            <w:left w:val="none" w:sz="0" w:space="0" w:color="auto"/>
            <w:bottom w:val="none" w:sz="0" w:space="0" w:color="auto"/>
            <w:right w:val="none" w:sz="0" w:space="0" w:color="auto"/>
          </w:divBdr>
        </w:div>
        <w:div w:id="1775782667">
          <w:marLeft w:val="0"/>
          <w:marRight w:val="0"/>
          <w:marTop w:val="0"/>
          <w:marBottom w:val="0"/>
          <w:divBdr>
            <w:top w:val="none" w:sz="0" w:space="0" w:color="auto"/>
            <w:left w:val="none" w:sz="0" w:space="0" w:color="auto"/>
            <w:bottom w:val="none" w:sz="0" w:space="0" w:color="auto"/>
            <w:right w:val="none" w:sz="0" w:space="0" w:color="auto"/>
          </w:divBdr>
          <w:divsChild>
            <w:div w:id="2107262769">
              <w:marLeft w:val="0"/>
              <w:marRight w:val="0"/>
              <w:marTop w:val="0"/>
              <w:marBottom w:val="0"/>
              <w:divBdr>
                <w:top w:val="none" w:sz="0" w:space="0" w:color="auto"/>
                <w:left w:val="none" w:sz="0" w:space="0" w:color="auto"/>
                <w:bottom w:val="none" w:sz="0" w:space="0" w:color="auto"/>
                <w:right w:val="none" w:sz="0" w:space="0" w:color="auto"/>
              </w:divBdr>
            </w:div>
            <w:div w:id="1191063651">
              <w:marLeft w:val="0"/>
              <w:marRight w:val="0"/>
              <w:marTop w:val="0"/>
              <w:marBottom w:val="0"/>
              <w:divBdr>
                <w:top w:val="none" w:sz="0" w:space="0" w:color="auto"/>
                <w:left w:val="none" w:sz="0" w:space="0" w:color="auto"/>
                <w:bottom w:val="none" w:sz="0" w:space="0" w:color="auto"/>
                <w:right w:val="none" w:sz="0" w:space="0" w:color="auto"/>
              </w:divBdr>
            </w:div>
            <w:div w:id="1464274824">
              <w:marLeft w:val="0"/>
              <w:marRight w:val="0"/>
              <w:marTop w:val="0"/>
              <w:marBottom w:val="0"/>
              <w:divBdr>
                <w:top w:val="none" w:sz="0" w:space="0" w:color="auto"/>
                <w:left w:val="none" w:sz="0" w:space="0" w:color="auto"/>
                <w:bottom w:val="none" w:sz="0" w:space="0" w:color="auto"/>
                <w:right w:val="none" w:sz="0" w:space="0" w:color="auto"/>
              </w:divBdr>
            </w:div>
          </w:divsChild>
        </w:div>
        <w:div w:id="841772281">
          <w:marLeft w:val="0"/>
          <w:marRight w:val="0"/>
          <w:marTop w:val="0"/>
          <w:marBottom w:val="0"/>
          <w:divBdr>
            <w:top w:val="none" w:sz="0" w:space="0" w:color="auto"/>
            <w:left w:val="none" w:sz="0" w:space="0" w:color="auto"/>
            <w:bottom w:val="none" w:sz="0" w:space="0" w:color="auto"/>
            <w:right w:val="none" w:sz="0" w:space="0" w:color="auto"/>
          </w:divBdr>
          <w:divsChild>
            <w:div w:id="1199582269">
              <w:marLeft w:val="0"/>
              <w:marRight w:val="0"/>
              <w:marTop w:val="0"/>
              <w:marBottom w:val="0"/>
              <w:divBdr>
                <w:top w:val="none" w:sz="0" w:space="0" w:color="auto"/>
                <w:left w:val="none" w:sz="0" w:space="0" w:color="auto"/>
                <w:bottom w:val="none" w:sz="0" w:space="0" w:color="auto"/>
                <w:right w:val="none" w:sz="0" w:space="0" w:color="auto"/>
              </w:divBdr>
              <w:divsChild>
                <w:div w:id="235668889">
                  <w:marLeft w:val="0"/>
                  <w:marRight w:val="0"/>
                  <w:marTop w:val="240"/>
                  <w:marBottom w:val="240"/>
                  <w:divBdr>
                    <w:top w:val="none" w:sz="0" w:space="0" w:color="auto"/>
                    <w:left w:val="none" w:sz="0" w:space="0" w:color="auto"/>
                    <w:bottom w:val="none" w:sz="0" w:space="0" w:color="auto"/>
                    <w:right w:val="none" w:sz="0" w:space="0" w:color="auto"/>
                  </w:divBdr>
                </w:div>
              </w:divsChild>
            </w:div>
            <w:div w:id="747188368">
              <w:marLeft w:val="0"/>
              <w:marRight w:val="0"/>
              <w:marTop w:val="0"/>
              <w:marBottom w:val="0"/>
              <w:divBdr>
                <w:top w:val="none" w:sz="0" w:space="0" w:color="auto"/>
                <w:left w:val="none" w:sz="0" w:space="0" w:color="auto"/>
                <w:bottom w:val="none" w:sz="0" w:space="0" w:color="auto"/>
                <w:right w:val="none" w:sz="0" w:space="0" w:color="auto"/>
              </w:divBdr>
            </w:div>
            <w:div w:id="1230002410">
              <w:marLeft w:val="0"/>
              <w:marRight w:val="0"/>
              <w:marTop w:val="0"/>
              <w:marBottom w:val="0"/>
              <w:divBdr>
                <w:top w:val="none" w:sz="0" w:space="0" w:color="auto"/>
                <w:left w:val="none" w:sz="0" w:space="0" w:color="auto"/>
                <w:bottom w:val="none" w:sz="0" w:space="0" w:color="auto"/>
                <w:right w:val="none" w:sz="0" w:space="0" w:color="auto"/>
              </w:divBdr>
              <w:divsChild>
                <w:div w:id="609236841">
                  <w:marLeft w:val="0"/>
                  <w:marRight w:val="0"/>
                  <w:marTop w:val="240"/>
                  <w:marBottom w:val="240"/>
                  <w:divBdr>
                    <w:top w:val="none" w:sz="0" w:space="0" w:color="auto"/>
                    <w:left w:val="none" w:sz="0" w:space="0" w:color="auto"/>
                    <w:bottom w:val="none" w:sz="0" w:space="0" w:color="auto"/>
                    <w:right w:val="none" w:sz="0" w:space="0" w:color="auto"/>
                  </w:divBdr>
                </w:div>
              </w:divsChild>
            </w:div>
            <w:div w:id="660086620">
              <w:marLeft w:val="0"/>
              <w:marRight w:val="0"/>
              <w:marTop w:val="0"/>
              <w:marBottom w:val="0"/>
              <w:divBdr>
                <w:top w:val="none" w:sz="0" w:space="0" w:color="auto"/>
                <w:left w:val="none" w:sz="0" w:space="0" w:color="auto"/>
                <w:bottom w:val="none" w:sz="0" w:space="0" w:color="auto"/>
                <w:right w:val="none" w:sz="0" w:space="0" w:color="auto"/>
              </w:divBdr>
            </w:div>
            <w:div w:id="785078182">
              <w:marLeft w:val="0"/>
              <w:marRight w:val="0"/>
              <w:marTop w:val="0"/>
              <w:marBottom w:val="0"/>
              <w:divBdr>
                <w:top w:val="none" w:sz="0" w:space="0" w:color="auto"/>
                <w:left w:val="none" w:sz="0" w:space="0" w:color="auto"/>
                <w:bottom w:val="none" w:sz="0" w:space="0" w:color="auto"/>
                <w:right w:val="none" w:sz="0" w:space="0" w:color="auto"/>
              </w:divBdr>
            </w:div>
            <w:div w:id="786654353">
              <w:marLeft w:val="0"/>
              <w:marRight w:val="0"/>
              <w:marTop w:val="0"/>
              <w:marBottom w:val="0"/>
              <w:divBdr>
                <w:top w:val="none" w:sz="0" w:space="0" w:color="auto"/>
                <w:left w:val="none" w:sz="0" w:space="0" w:color="auto"/>
                <w:bottom w:val="none" w:sz="0" w:space="0" w:color="auto"/>
                <w:right w:val="none" w:sz="0" w:space="0" w:color="auto"/>
              </w:divBdr>
            </w:div>
            <w:div w:id="1512141084">
              <w:marLeft w:val="0"/>
              <w:marRight w:val="0"/>
              <w:marTop w:val="0"/>
              <w:marBottom w:val="0"/>
              <w:divBdr>
                <w:top w:val="none" w:sz="0" w:space="0" w:color="auto"/>
                <w:left w:val="none" w:sz="0" w:space="0" w:color="auto"/>
                <w:bottom w:val="none" w:sz="0" w:space="0" w:color="auto"/>
                <w:right w:val="none" w:sz="0" w:space="0" w:color="auto"/>
              </w:divBdr>
              <w:divsChild>
                <w:div w:id="819156517">
                  <w:marLeft w:val="0"/>
                  <w:marRight w:val="0"/>
                  <w:marTop w:val="240"/>
                  <w:marBottom w:val="240"/>
                  <w:divBdr>
                    <w:top w:val="none" w:sz="0" w:space="0" w:color="auto"/>
                    <w:left w:val="none" w:sz="0" w:space="0" w:color="auto"/>
                    <w:bottom w:val="none" w:sz="0" w:space="0" w:color="auto"/>
                    <w:right w:val="none" w:sz="0" w:space="0" w:color="auto"/>
                  </w:divBdr>
                </w:div>
              </w:divsChild>
            </w:div>
            <w:div w:id="1787582705">
              <w:marLeft w:val="0"/>
              <w:marRight w:val="0"/>
              <w:marTop w:val="0"/>
              <w:marBottom w:val="0"/>
              <w:divBdr>
                <w:top w:val="none" w:sz="0" w:space="0" w:color="auto"/>
                <w:left w:val="none" w:sz="0" w:space="0" w:color="auto"/>
                <w:bottom w:val="none" w:sz="0" w:space="0" w:color="auto"/>
                <w:right w:val="none" w:sz="0" w:space="0" w:color="auto"/>
              </w:divBdr>
            </w:div>
            <w:div w:id="1139029211">
              <w:marLeft w:val="0"/>
              <w:marRight w:val="0"/>
              <w:marTop w:val="0"/>
              <w:marBottom w:val="0"/>
              <w:divBdr>
                <w:top w:val="none" w:sz="0" w:space="0" w:color="auto"/>
                <w:left w:val="none" w:sz="0" w:space="0" w:color="auto"/>
                <w:bottom w:val="none" w:sz="0" w:space="0" w:color="auto"/>
                <w:right w:val="none" w:sz="0" w:space="0" w:color="auto"/>
              </w:divBdr>
            </w:div>
            <w:div w:id="994727712">
              <w:marLeft w:val="0"/>
              <w:marRight w:val="0"/>
              <w:marTop w:val="0"/>
              <w:marBottom w:val="0"/>
              <w:divBdr>
                <w:top w:val="none" w:sz="0" w:space="0" w:color="auto"/>
                <w:left w:val="none" w:sz="0" w:space="0" w:color="auto"/>
                <w:bottom w:val="none" w:sz="0" w:space="0" w:color="auto"/>
                <w:right w:val="none" w:sz="0" w:space="0" w:color="auto"/>
              </w:divBdr>
            </w:div>
            <w:div w:id="209726216">
              <w:marLeft w:val="0"/>
              <w:marRight w:val="0"/>
              <w:marTop w:val="0"/>
              <w:marBottom w:val="0"/>
              <w:divBdr>
                <w:top w:val="none" w:sz="0" w:space="0" w:color="auto"/>
                <w:left w:val="none" w:sz="0" w:space="0" w:color="auto"/>
                <w:bottom w:val="none" w:sz="0" w:space="0" w:color="auto"/>
                <w:right w:val="none" w:sz="0" w:space="0" w:color="auto"/>
              </w:divBdr>
            </w:div>
            <w:div w:id="642580564">
              <w:marLeft w:val="0"/>
              <w:marRight w:val="0"/>
              <w:marTop w:val="0"/>
              <w:marBottom w:val="0"/>
              <w:divBdr>
                <w:top w:val="none" w:sz="0" w:space="0" w:color="auto"/>
                <w:left w:val="none" w:sz="0" w:space="0" w:color="auto"/>
                <w:bottom w:val="none" w:sz="0" w:space="0" w:color="auto"/>
                <w:right w:val="none" w:sz="0" w:space="0" w:color="auto"/>
              </w:divBdr>
              <w:divsChild>
                <w:div w:id="1833256372">
                  <w:marLeft w:val="0"/>
                  <w:marRight w:val="0"/>
                  <w:marTop w:val="240"/>
                  <w:marBottom w:val="240"/>
                  <w:divBdr>
                    <w:top w:val="none" w:sz="0" w:space="0" w:color="auto"/>
                    <w:left w:val="none" w:sz="0" w:space="0" w:color="auto"/>
                    <w:bottom w:val="none" w:sz="0" w:space="0" w:color="auto"/>
                    <w:right w:val="none" w:sz="0" w:space="0" w:color="auto"/>
                  </w:divBdr>
                </w:div>
              </w:divsChild>
            </w:div>
            <w:div w:id="217210192">
              <w:marLeft w:val="0"/>
              <w:marRight w:val="0"/>
              <w:marTop w:val="0"/>
              <w:marBottom w:val="0"/>
              <w:divBdr>
                <w:top w:val="none" w:sz="0" w:space="0" w:color="auto"/>
                <w:left w:val="none" w:sz="0" w:space="0" w:color="auto"/>
                <w:bottom w:val="none" w:sz="0" w:space="0" w:color="auto"/>
                <w:right w:val="none" w:sz="0" w:space="0" w:color="auto"/>
              </w:divBdr>
            </w:div>
            <w:div w:id="1483547263">
              <w:marLeft w:val="0"/>
              <w:marRight w:val="0"/>
              <w:marTop w:val="0"/>
              <w:marBottom w:val="0"/>
              <w:divBdr>
                <w:top w:val="none" w:sz="0" w:space="0" w:color="auto"/>
                <w:left w:val="none" w:sz="0" w:space="0" w:color="auto"/>
                <w:bottom w:val="none" w:sz="0" w:space="0" w:color="auto"/>
                <w:right w:val="none" w:sz="0" w:space="0" w:color="auto"/>
              </w:divBdr>
            </w:div>
            <w:div w:id="744962470">
              <w:marLeft w:val="0"/>
              <w:marRight w:val="0"/>
              <w:marTop w:val="0"/>
              <w:marBottom w:val="0"/>
              <w:divBdr>
                <w:top w:val="none" w:sz="0" w:space="0" w:color="auto"/>
                <w:left w:val="none" w:sz="0" w:space="0" w:color="auto"/>
                <w:bottom w:val="none" w:sz="0" w:space="0" w:color="auto"/>
                <w:right w:val="none" w:sz="0" w:space="0" w:color="auto"/>
              </w:divBdr>
              <w:divsChild>
                <w:div w:id="17876993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5499277">
          <w:marLeft w:val="0"/>
          <w:marRight w:val="0"/>
          <w:marTop w:val="0"/>
          <w:marBottom w:val="0"/>
          <w:divBdr>
            <w:top w:val="none" w:sz="0" w:space="0" w:color="auto"/>
            <w:left w:val="none" w:sz="0" w:space="0" w:color="auto"/>
            <w:bottom w:val="none" w:sz="0" w:space="0" w:color="auto"/>
            <w:right w:val="none" w:sz="0" w:space="0" w:color="auto"/>
          </w:divBdr>
          <w:divsChild>
            <w:div w:id="861013146">
              <w:marLeft w:val="0"/>
              <w:marRight w:val="0"/>
              <w:marTop w:val="240"/>
              <w:marBottom w:val="240"/>
              <w:divBdr>
                <w:top w:val="none" w:sz="0" w:space="0" w:color="auto"/>
                <w:left w:val="none" w:sz="0" w:space="0" w:color="auto"/>
                <w:bottom w:val="none" w:sz="0" w:space="0" w:color="auto"/>
                <w:right w:val="none" w:sz="0" w:space="0" w:color="auto"/>
              </w:divBdr>
            </w:div>
            <w:div w:id="483669139">
              <w:marLeft w:val="0"/>
              <w:marRight w:val="0"/>
              <w:marTop w:val="0"/>
              <w:marBottom w:val="0"/>
              <w:divBdr>
                <w:top w:val="none" w:sz="0" w:space="0" w:color="auto"/>
                <w:left w:val="none" w:sz="0" w:space="0" w:color="auto"/>
                <w:bottom w:val="none" w:sz="0" w:space="0" w:color="auto"/>
                <w:right w:val="none" w:sz="0" w:space="0" w:color="auto"/>
              </w:divBdr>
            </w:div>
            <w:div w:id="115956442">
              <w:marLeft w:val="0"/>
              <w:marRight w:val="0"/>
              <w:marTop w:val="0"/>
              <w:marBottom w:val="0"/>
              <w:divBdr>
                <w:top w:val="none" w:sz="0" w:space="0" w:color="auto"/>
                <w:left w:val="none" w:sz="0" w:space="0" w:color="auto"/>
                <w:bottom w:val="none" w:sz="0" w:space="0" w:color="auto"/>
                <w:right w:val="none" w:sz="0" w:space="0" w:color="auto"/>
              </w:divBdr>
            </w:div>
            <w:div w:id="213978098">
              <w:marLeft w:val="0"/>
              <w:marRight w:val="0"/>
              <w:marTop w:val="0"/>
              <w:marBottom w:val="0"/>
              <w:divBdr>
                <w:top w:val="none" w:sz="0" w:space="0" w:color="auto"/>
                <w:left w:val="none" w:sz="0" w:space="0" w:color="auto"/>
                <w:bottom w:val="none" w:sz="0" w:space="0" w:color="auto"/>
                <w:right w:val="none" w:sz="0" w:space="0" w:color="auto"/>
              </w:divBdr>
            </w:div>
            <w:div w:id="13689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Птицына</dc:creator>
  <cp:lastModifiedBy>Наталья Птицына</cp:lastModifiedBy>
  <cp:revision>1</cp:revision>
  <dcterms:created xsi:type="dcterms:W3CDTF">2023-10-09T05:55:00Z</dcterms:created>
  <dcterms:modified xsi:type="dcterms:W3CDTF">2023-10-09T06:09:00Z</dcterms:modified>
</cp:coreProperties>
</file>